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080" w:type="dxa"/>
        <w:tblInd w:w="250" w:type="dxa"/>
        <w:tblLook w:val="01E0" w:firstRow="1" w:lastRow="1" w:firstColumn="1" w:lastColumn="1" w:noHBand="0" w:noVBand="0"/>
      </w:tblPr>
      <w:tblGrid>
        <w:gridCol w:w="5238"/>
        <w:gridCol w:w="2842"/>
      </w:tblGrid>
      <w:tr w:rsidRPr="00D861A3" w:rsidR="00B62A5C" w:rsidTr="00645A48" w14:paraId="0EC80D65" w14:textId="77777777">
        <w:tc>
          <w:tcPr>
            <w:tcW w:w="5238" w:type="dxa"/>
          </w:tcPr>
          <w:p w:rsidRPr="00D861A3" w:rsidR="00645A48" w:rsidP="009460F8" w:rsidRDefault="0090499F" w14:paraId="49A2AC15" w14:textId="3B97CD7C">
            <w:pPr>
              <w:keepNext/>
              <w:suppressAutoHyphens/>
              <w:spacing w:after="220"/>
              <w:ind w:left="-108"/>
              <w:jc w:val="left"/>
              <w:outlineLvl w:val="1"/>
              <w:rPr>
                <w:rFonts w:ascii="Times New Roman" w:hAnsi="Times New Roman" w:eastAsia="Microsoft JhengHei"/>
                <w:b/>
                <w:sz w:val="20"/>
              </w:rPr>
            </w:pPr>
            <w:r w:rsidRPr="00D861A3">
              <w:rPr>
                <w:rFonts w:ascii="Times New Roman" w:hAnsi="Times New Roman" w:eastAsia="Microsoft JhengHei"/>
                <w:b/>
                <w:sz w:val="20"/>
              </w:rPr>
              <w:t xml:space="preserve">SUPPLEMENT No. </w:t>
            </w:r>
            <w:r w:rsidRPr="00D861A3" w:rsidR="00C9548C">
              <w:rPr>
                <w:rFonts w:ascii="Times New Roman" w:hAnsi="Times New Roman" w:eastAsia="Microsoft JhengHei"/>
                <w:b/>
                <w:sz w:val="20"/>
              </w:rPr>
              <w:t>8</w:t>
            </w:r>
            <w:r w:rsidRPr="00D861A3" w:rsidR="000871B4">
              <w:rPr>
                <w:rFonts w:ascii="Times New Roman" w:hAnsi="Times New Roman" w:eastAsia="Microsoft JhengHei"/>
                <w:b/>
                <w:sz w:val="20"/>
              </w:rPr>
              <w:t xml:space="preserve"> </w:t>
            </w:r>
            <w:r w:rsidRPr="00D861A3">
              <w:rPr>
                <w:rFonts w:ascii="Times New Roman" w:hAnsi="Times New Roman" w:eastAsia="Microsoft JhengHei"/>
                <w:b/>
                <w:sz w:val="20"/>
              </w:rPr>
              <w:t>DATED</w:t>
            </w:r>
            <w:r w:rsidRPr="00D861A3" w:rsidR="000871B4">
              <w:rPr>
                <w:rFonts w:ascii="Times New Roman" w:hAnsi="Times New Roman" w:eastAsia="Microsoft JhengHei"/>
                <w:b/>
                <w:sz w:val="20"/>
              </w:rPr>
              <w:t xml:space="preserve"> </w:t>
            </w:r>
            <w:bookmarkStart w:name="_Hlk146638148" w:id="0"/>
            <w:r w:rsidRPr="00D861A3" w:rsidR="0041368F">
              <w:rPr>
                <w:rFonts w:ascii="Times New Roman" w:hAnsi="Times New Roman" w:eastAsia="Microsoft JhengHei"/>
                <w:b/>
                <w:sz w:val="20"/>
              </w:rPr>
              <w:t>29</w:t>
            </w:r>
            <w:r w:rsidRPr="00D861A3" w:rsidR="00C9548C">
              <w:rPr>
                <w:rFonts w:ascii="Times New Roman" w:hAnsi="Times New Roman" w:eastAsia="Microsoft JhengHei"/>
                <w:b/>
                <w:sz w:val="20"/>
              </w:rPr>
              <w:t xml:space="preserve"> JANUARY </w:t>
            </w:r>
            <w:r w:rsidRPr="00D861A3" w:rsidR="00692D0A">
              <w:rPr>
                <w:rFonts w:ascii="Times New Roman" w:hAnsi="Times New Roman" w:eastAsia="Microsoft JhengHei"/>
                <w:b/>
                <w:sz w:val="20"/>
              </w:rPr>
              <w:t>202</w:t>
            </w:r>
            <w:r w:rsidRPr="00D861A3" w:rsidR="00C9548C">
              <w:rPr>
                <w:rFonts w:ascii="Times New Roman" w:hAnsi="Times New Roman" w:eastAsia="Microsoft JhengHei"/>
                <w:b/>
                <w:sz w:val="20"/>
              </w:rPr>
              <w:t>6</w:t>
            </w:r>
            <w:r w:rsidRPr="00D861A3">
              <w:rPr>
                <w:rFonts w:ascii="Times New Roman" w:hAnsi="Times New Roman" w:eastAsia="Microsoft JhengHei"/>
                <w:b/>
                <w:sz w:val="20"/>
              </w:rPr>
              <w:t xml:space="preserve"> </w:t>
            </w:r>
            <w:bookmarkEnd w:id="0"/>
            <w:r w:rsidRPr="00D861A3">
              <w:rPr>
                <w:rFonts w:ascii="Times New Roman" w:hAnsi="Times New Roman" w:eastAsia="Microsoft JhengHei"/>
                <w:b/>
                <w:sz w:val="20"/>
              </w:rPr>
              <w:t xml:space="preserve">TO THE OFFERING CIRCULAR DATED </w:t>
            </w:r>
            <w:r w:rsidRPr="00D861A3" w:rsidR="00692D0A">
              <w:rPr>
                <w:rFonts w:ascii="Times New Roman" w:hAnsi="Times New Roman" w:eastAsia="Microsoft JhengHei"/>
                <w:b/>
                <w:sz w:val="20"/>
              </w:rPr>
              <w:t>1</w:t>
            </w:r>
            <w:r w:rsidRPr="00D861A3" w:rsidR="00921312">
              <w:rPr>
                <w:rFonts w:ascii="Times New Roman" w:hAnsi="Times New Roman" w:eastAsia="Microsoft JhengHei"/>
                <w:b/>
                <w:sz w:val="20"/>
              </w:rPr>
              <w:t>7</w:t>
            </w:r>
            <w:r w:rsidRPr="00D861A3" w:rsidR="00692D0A">
              <w:rPr>
                <w:rFonts w:ascii="Times New Roman" w:hAnsi="Times New Roman" w:eastAsia="Microsoft JhengHei"/>
                <w:b/>
                <w:sz w:val="20"/>
              </w:rPr>
              <w:t xml:space="preserve"> APRIL 202</w:t>
            </w:r>
            <w:r w:rsidRPr="00D861A3" w:rsidR="00921312">
              <w:rPr>
                <w:rFonts w:ascii="Times New Roman" w:hAnsi="Times New Roman" w:eastAsia="Microsoft JhengHei"/>
                <w:b/>
                <w:sz w:val="20"/>
              </w:rPr>
              <w:t>5</w:t>
            </w:r>
          </w:p>
        </w:tc>
        <w:tc>
          <w:tcPr>
            <w:tcW w:w="2842" w:type="dxa"/>
          </w:tcPr>
          <w:p w:rsidRPr="00D861A3" w:rsidR="00645A48" w:rsidP="00645A48" w:rsidRDefault="00645A48" w14:paraId="00B08417" w14:textId="77777777">
            <w:pPr>
              <w:keepNext/>
              <w:suppressAutoHyphens/>
              <w:spacing w:after="220"/>
              <w:outlineLvl w:val="1"/>
              <w:rPr>
                <w:rFonts w:ascii="Times New Roman" w:hAnsi="Times New Roman" w:eastAsia="Microsoft JhengHei"/>
                <w:b/>
                <w:sz w:val="20"/>
              </w:rPr>
            </w:pPr>
          </w:p>
        </w:tc>
      </w:tr>
    </w:tbl>
    <w:p w:rsidRPr="00D861A3" w:rsidR="00E330F5" w:rsidP="00645A48" w:rsidRDefault="00E330F5" w14:paraId="2BB6A786" w14:textId="77777777">
      <w:pPr>
        <w:pStyle w:val="NormalAshurst"/>
        <w:ind w:left="567"/>
        <w:jc w:val="center"/>
        <w:rPr>
          <w:rFonts w:ascii="Times New Roman" w:hAnsi="Times New Roman" w:cs="Times New Roman"/>
        </w:rPr>
      </w:pPr>
    </w:p>
    <w:p w:rsidRPr="00D861A3" w:rsidR="00E330F5" w:rsidP="006A0136" w:rsidRDefault="0090499F" w14:paraId="194577C4" w14:textId="77777777">
      <w:pPr>
        <w:spacing w:after="220"/>
        <w:jc w:val="center"/>
        <w:rPr>
          <w:rFonts w:ascii="Times New Roman" w:hAnsi="Times New Roman"/>
          <w:b/>
          <w:sz w:val="20"/>
        </w:rPr>
      </w:pPr>
      <w:r w:rsidRPr="00D861A3">
        <w:rPr>
          <w:rFonts w:ascii="Times New Roman" w:hAnsi="Times New Roman"/>
          <w:noProof/>
        </w:rPr>
        <w:drawing>
          <wp:inline distT="0" distB="0" distL="0" distR="0" wp14:anchorId="494EB6C7" wp14:editId="49DEC8AA">
            <wp:extent cx="1729740" cy="4572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29740" cy="457200"/>
                    </a:xfrm>
                    <a:prstGeom prst="rect">
                      <a:avLst/>
                    </a:prstGeom>
                    <a:noFill/>
                    <a:ln>
                      <a:noFill/>
                    </a:ln>
                  </pic:spPr>
                </pic:pic>
              </a:graphicData>
            </a:graphic>
          </wp:inline>
        </w:drawing>
      </w:r>
    </w:p>
    <w:p w:rsidRPr="00D861A3" w:rsidR="00E330F5" w:rsidP="006A0136" w:rsidRDefault="0090499F" w14:paraId="19105F41" w14:textId="77777777">
      <w:pPr>
        <w:pStyle w:val="StandardOCAshurst"/>
        <w:jc w:val="center"/>
        <w:rPr>
          <w:b/>
        </w:rPr>
      </w:pPr>
      <w:r w:rsidRPr="00D861A3">
        <w:rPr>
          <w:b/>
        </w:rPr>
        <w:t>J.P. Morgan Structured Products B.V.</w:t>
      </w:r>
    </w:p>
    <w:p w:rsidRPr="00D861A3" w:rsidR="00E330F5" w:rsidP="006A0136" w:rsidRDefault="0090499F" w14:paraId="2422EF8F" w14:textId="77777777">
      <w:pPr>
        <w:pStyle w:val="NormalOCAshurst"/>
        <w:jc w:val="center"/>
      </w:pPr>
      <w:r w:rsidRPr="00D861A3">
        <w:t>(</w:t>
      </w:r>
      <w:r w:rsidRPr="00D861A3">
        <w:rPr>
          <w:i/>
        </w:rPr>
        <w:t>incorporated with limited liability in The Netherlands</w:t>
      </w:r>
      <w:r w:rsidRPr="00D861A3">
        <w:t>)</w:t>
      </w:r>
    </w:p>
    <w:p w:rsidRPr="00D861A3" w:rsidR="00E330F5" w:rsidP="006A0136" w:rsidRDefault="0090499F" w14:paraId="6B4CFFD9" w14:textId="77777777">
      <w:pPr>
        <w:pStyle w:val="NormalOCAshurst"/>
        <w:jc w:val="center"/>
      </w:pPr>
      <w:r w:rsidRPr="00D861A3">
        <w:t>as Issuer</w:t>
      </w:r>
    </w:p>
    <w:p w:rsidRPr="00D861A3" w:rsidR="00E330F5" w:rsidP="006A0136" w:rsidRDefault="0090499F" w14:paraId="0400278D" w14:textId="77777777">
      <w:pPr>
        <w:pStyle w:val="StandardOCAshurst"/>
        <w:jc w:val="center"/>
        <w:rPr>
          <w:b/>
        </w:rPr>
      </w:pPr>
      <w:r w:rsidRPr="00D861A3">
        <w:rPr>
          <w:b/>
        </w:rPr>
        <w:t>JPMorgan Chase Financial Company LLC</w:t>
      </w:r>
    </w:p>
    <w:p w:rsidRPr="00D861A3" w:rsidR="00E330F5" w:rsidP="006A0136" w:rsidRDefault="0090499F" w14:paraId="14FA03E6" w14:textId="77777777">
      <w:pPr>
        <w:pStyle w:val="NormalOCAshurst"/>
        <w:jc w:val="center"/>
      </w:pPr>
      <w:r w:rsidRPr="00D861A3">
        <w:t>(</w:t>
      </w:r>
      <w:r w:rsidRPr="00D861A3">
        <w:rPr>
          <w:i/>
        </w:rPr>
        <w:t>incorporated with limited liability in the State of Delaware, United States of America</w:t>
      </w:r>
      <w:r w:rsidRPr="00D861A3">
        <w:t>)</w:t>
      </w:r>
    </w:p>
    <w:p w:rsidRPr="00D861A3" w:rsidR="00E330F5" w:rsidP="006A0136" w:rsidRDefault="0090499F" w14:paraId="56744075" w14:textId="77777777">
      <w:pPr>
        <w:pStyle w:val="NormalOCAshurst"/>
        <w:jc w:val="center"/>
      </w:pPr>
      <w:r w:rsidRPr="00D861A3">
        <w:t>as Issuer</w:t>
      </w:r>
    </w:p>
    <w:p w:rsidRPr="00D861A3" w:rsidR="00E330F5" w:rsidP="006A0136" w:rsidRDefault="00E330F5" w14:paraId="44D9A14B" w14:textId="77777777">
      <w:pPr>
        <w:pStyle w:val="NormalOCAshurst"/>
        <w:jc w:val="center"/>
      </w:pPr>
    </w:p>
    <w:p w:rsidRPr="00D861A3" w:rsidR="00E330F5" w:rsidP="006A0136" w:rsidRDefault="0090499F" w14:paraId="6C0D9D73" w14:textId="77777777">
      <w:pPr>
        <w:pStyle w:val="StandardOCAshurst"/>
        <w:jc w:val="center"/>
        <w:rPr>
          <w:b/>
        </w:rPr>
      </w:pPr>
      <w:r w:rsidRPr="00D861A3">
        <w:rPr>
          <w:b/>
        </w:rPr>
        <w:t>JPMorgan Chase Bank, N.A.</w:t>
      </w:r>
    </w:p>
    <w:p w:rsidRPr="00D861A3" w:rsidR="00E330F5" w:rsidP="006A0136" w:rsidRDefault="0090499F" w14:paraId="615E317F" w14:textId="77777777">
      <w:pPr>
        <w:pStyle w:val="NormalOCAshurst"/>
        <w:jc w:val="center"/>
      </w:pPr>
      <w:r w:rsidRPr="00D861A3">
        <w:t>(</w:t>
      </w:r>
      <w:r w:rsidRPr="00D861A3">
        <w:rPr>
          <w:i/>
        </w:rPr>
        <w:t>a national banking association organised under the laws of the United States of America</w:t>
      </w:r>
      <w:r w:rsidRPr="00D861A3">
        <w:t>)</w:t>
      </w:r>
    </w:p>
    <w:p w:rsidRPr="00D861A3" w:rsidR="00E330F5" w:rsidP="006A0136" w:rsidRDefault="0090499F" w14:paraId="759DC48D" w14:textId="77777777">
      <w:pPr>
        <w:pStyle w:val="NormalOCAshurst"/>
        <w:spacing w:after="0"/>
        <w:jc w:val="center"/>
      </w:pPr>
      <w:r w:rsidRPr="00D861A3">
        <w:t>as Issuer and as Guarantor in respect of Securities</w:t>
      </w:r>
    </w:p>
    <w:p w:rsidRPr="00D861A3" w:rsidR="00E330F5" w:rsidP="006A0136" w:rsidRDefault="0090499F" w14:paraId="408A593F" w14:textId="77777777">
      <w:pPr>
        <w:pStyle w:val="NormalOCAshurst"/>
        <w:spacing w:after="0"/>
        <w:jc w:val="center"/>
      </w:pPr>
      <w:r w:rsidRPr="00D861A3">
        <w:t>issued by</w:t>
      </w:r>
    </w:p>
    <w:p w:rsidRPr="00D861A3" w:rsidR="00E330F5" w:rsidP="006A0136" w:rsidRDefault="0090499F" w14:paraId="168EA1D4" w14:textId="77777777">
      <w:pPr>
        <w:pStyle w:val="NormalOCAshurst"/>
        <w:jc w:val="center"/>
      </w:pPr>
      <w:r w:rsidRPr="00D861A3">
        <w:t>J.P. Morgan Structured Products B.V.</w:t>
      </w:r>
    </w:p>
    <w:p w:rsidRPr="00D861A3" w:rsidR="00E330F5" w:rsidP="006A0136" w:rsidRDefault="00E330F5" w14:paraId="78E2F09E" w14:textId="77777777">
      <w:pPr>
        <w:pStyle w:val="NormalOCAshurst"/>
        <w:jc w:val="center"/>
      </w:pPr>
    </w:p>
    <w:p w:rsidRPr="00D861A3" w:rsidR="00E330F5" w:rsidP="006A0136" w:rsidRDefault="0090499F" w14:paraId="3535DCDA" w14:textId="77777777">
      <w:pPr>
        <w:pStyle w:val="StandardOCAshurst"/>
        <w:jc w:val="center"/>
        <w:rPr>
          <w:b/>
        </w:rPr>
      </w:pPr>
      <w:r w:rsidRPr="00D861A3">
        <w:rPr>
          <w:b/>
        </w:rPr>
        <w:t>JPMorgan Chase &amp; Co.</w:t>
      </w:r>
    </w:p>
    <w:p w:rsidRPr="00D861A3" w:rsidR="00E330F5" w:rsidP="006A0136" w:rsidRDefault="0090499F" w14:paraId="6E666FFC" w14:textId="77777777">
      <w:pPr>
        <w:pStyle w:val="NormalOCAshurst"/>
        <w:jc w:val="center"/>
      </w:pPr>
      <w:r w:rsidRPr="00D861A3">
        <w:t>(</w:t>
      </w:r>
      <w:r w:rsidRPr="00D861A3">
        <w:rPr>
          <w:i/>
        </w:rPr>
        <w:t>incorporated in the State of Delaware, United States of America</w:t>
      </w:r>
      <w:r w:rsidRPr="00D861A3">
        <w:t>)</w:t>
      </w:r>
    </w:p>
    <w:p w:rsidRPr="00D861A3" w:rsidR="00E330F5" w:rsidP="006A0136" w:rsidRDefault="0090499F" w14:paraId="6AE2F9C0" w14:textId="77777777">
      <w:pPr>
        <w:pStyle w:val="NormalOCAshurst"/>
        <w:spacing w:after="0"/>
        <w:jc w:val="center"/>
      </w:pPr>
      <w:r w:rsidRPr="00D861A3">
        <w:t>as Issuer and as Guarantor in respect of Securities</w:t>
      </w:r>
    </w:p>
    <w:p w:rsidRPr="00D861A3" w:rsidR="00E330F5" w:rsidP="006A0136" w:rsidRDefault="0090499F" w14:paraId="20942779" w14:textId="77777777">
      <w:pPr>
        <w:pStyle w:val="NormalOCAshurst"/>
        <w:spacing w:after="0"/>
        <w:jc w:val="center"/>
      </w:pPr>
      <w:r w:rsidRPr="00D861A3">
        <w:t>issued by</w:t>
      </w:r>
    </w:p>
    <w:p w:rsidRPr="00D861A3" w:rsidR="00E330F5" w:rsidP="006A0136" w:rsidRDefault="0090499F" w14:paraId="6EBB1602" w14:textId="77777777">
      <w:pPr>
        <w:pStyle w:val="NormalOCAshurst"/>
        <w:spacing w:after="0"/>
        <w:jc w:val="center"/>
      </w:pPr>
      <w:r w:rsidRPr="00D861A3">
        <w:t>JPMorgan Chase Financial Company LLC</w:t>
      </w:r>
    </w:p>
    <w:p w:rsidRPr="00D861A3" w:rsidR="00E330F5" w:rsidP="006A0136" w:rsidRDefault="00E330F5" w14:paraId="1A484EC1" w14:textId="77777777">
      <w:pPr>
        <w:pStyle w:val="NormalOCAshurst"/>
        <w:jc w:val="center"/>
      </w:pPr>
    </w:p>
    <w:p w:rsidRPr="00D861A3" w:rsidR="00E330F5" w:rsidP="006A0136" w:rsidRDefault="0090499F" w14:paraId="6301F7AF" w14:textId="77777777">
      <w:pPr>
        <w:pStyle w:val="NormalOCAshurst"/>
        <w:jc w:val="center"/>
        <w:rPr>
          <w:b/>
        </w:rPr>
      </w:pPr>
      <w:r w:rsidRPr="00D861A3">
        <w:rPr>
          <w:b/>
        </w:rPr>
        <w:t>Structured Products Programme for the issuance</w:t>
      </w:r>
    </w:p>
    <w:p w:rsidRPr="00D861A3" w:rsidR="00E330F5" w:rsidP="006A0136" w:rsidRDefault="0090499F" w14:paraId="5D87EFE8" w14:textId="77777777">
      <w:pPr>
        <w:pStyle w:val="NormalOCAshurst"/>
        <w:jc w:val="center"/>
        <w:rPr>
          <w:b/>
        </w:rPr>
      </w:pPr>
      <w:r w:rsidRPr="00D861A3">
        <w:rPr>
          <w:b/>
        </w:rPr>
        <w:t>of</w:t>
      </w:r>
    </w:p>
    <w:p w:rsidRPr="00D861A3" w:rsidR="00E330F5" w:rsidP="006A0136" w:rsidRDefault="0090499F" w14:paraId="430B705F" w14:textId="77777777">
      <w:pPr>
        <w:pStyle w:val="NormalOCAshurst"/>
        <w:jc w:val="center"/>
        <w:rPr>
          <w:b/>
        </w:rPr>
      </w:pPr>
      <w:r w:rsidRPr="00D861A3">
        <w:rPr>
          <w:b/>
        </w:rPr>
        <w:t>Notes, Warrants and Certificates</w:t>
      </w:r>
    </w:p>
    <w:p w:rsidRPr="00D861A3" w:rsidR="00E330F5" w:rsidP="006A0136" w:rsidRDefault="00E330F5" w14:paraId="28E2C53B" w14:textId="77777777">
      <w:pPr>
        <w:pStyle w:val="NormalOCAshurst"/>
        <w:jc w:val="center"/>
      </w:pPr>
    </w:p>
    <w:p w:rsidRPr="00D861A3" w:rsidR="00E330F5" w:rsidP="006A0136" w:rsidRDefault="0090499F" w14:paraId="1EB51E4F" w14:textId="77777777">
      <w:pPr>
        <w:pStyle w:val="NormalOCAshurst"/>
        <w:jc w:val="center"/>
        <w:rPr>
          <w:b/>
          <w:i/>
        </w:rPr>
      </w:pPr>
      <w:r w:rsidRPr="00D861A3">
        <w:rPr>
          <w:b/>
          <w:i/>
        </w:rPr>
        <w:t>Arranger and Dealer for the Programme</w:t>
      </w:r>
    </w:p>
    <w:p w:rsidRPr="00D861A3" w:rsidR="00E330F5" w:rsidP="006A0136" w:rsidRDefault="0090499F" w14:paraId="2558872E" w14:textId="77777777">
      <w:pPr>
        <w:pStyle w:val="NormalOCAshurst"/>
        <w:jc w:val="center"/>
        <w:rPr>
          <w:b/>
        </w:rPr>
      </w:pPr>
      <w:r w:rsidRPr="00D861A3">
        <w:rPr>
          <w:b/>
        </w:rPr>
        <w:t>J.P. Morgan</w:t>
      </w:r>
    </w:p>
    <w:p w:rsidRPr="00D861A3" w:rsidR="00E330F5" w:rsidP="006A0136" w:rsidRDefault="00E330F5" w14:paraId="5046B851" w14:textId="77777777">
      <w:pPr>
        <w:pStyle w:val="NormalOCAshurst"/>
        <w:jc w:val="center"/>
        <w:rPr>
          <w:b/>
        </w:rPr>
      </w:pPr>
    </w:p>
    <w:p w:rsidRPr="00D861A3" w:rsidR="00E330F5" w:rsidP="006A0136" w:rsidRDefault="00E330F5" w14:paraId="4419D5A4" w14:textId="77777777">
      <w:pPr>
        <w:pStyle w:val="NormalOCAshurst"/>
        <w:jc w:val="center"/>
        <w:rPr>
          <w:b/>
        </w:rPr>
      </w:pPr>
    </w:p>
    <w:p w:rsidRPr="00D861A3" w:rsidR="00E330F5" w:rsidP="006A0136" w:rsidRDefault="00E330F5" w14:paraId="2E25C2BB" w14:textId="77777777">
      <w:pPr>
        <w:pStyle w:val="NormalOCAshurst"/>
        <w:jc w:val="center"/>
        <w:rPr>
          <w:b/>
        </w:rPr>
      </w:pPr>
    </w:p>
    <w:p w:rsidRPr="00D861A3" w:rsidR="00E330F5" w:rsidP="006A0136" w:rsidRDefault="00E330F5" w14:paraId="79AC44B7" w14:textId="77777777">
      <w:pPr>
        <w:pStyle w:val="NormalOCAshurst"/>
        <w:rPr>
          <w:b/>
        </w:rPr>
      </w:pPr>
    </w:p>
    <w:p w:rsidRPr="00D861A3" w:rsidR="00E330F5" w:rsidP="006A0136" w:rsidRDefault="00E330F5" w14:paraId="60D516F1" w14:textId="77777777">
      <w:pPr>
        <w:autoSpaceDE w:val="0"/>
        <w:autoSpaceDN w:val="0"/>
        <w:adjustRightInd w:val="0"/>
        <w:spacing w:line="240" w:lineRule="auto"/>
        <w:rPr>
          <w:rFonts w:ascii="Times New Roman" w:hAnsi="Times New Roman"/>
          <w:sz w:val="20"/>
          <w:szCs w:val="20"/>
        </w:rPr>
        <w:sectPr w:rsidRPr="00D861A3" w:rsidR="00E330F5" w:rsidSect="00530B13">
          <w:headerReference w:type="even" r:id="rId8"/>
          <w:headerReference w:type="default" r:id="rId9"/>
          <w:footerReference w:type="even" r:id="rId10"/>
          <w:footerReference w:type="default" r:id="rId11"/>
          <w:headerReference w:type="first" r:id="rId12"/>
          <w:footerReference w:type="first" r:id="rId13"/>
          <w:pgSz w:w="11907" w:h="16839"/>
          <w:pgMar w:top="1440" w:right="1800" w:bottom="1440" w:left="1800" w:header="708" w:footer="708" w:gutter="0"/>
          <w:paperSrc w:first="265" w:other="265"/>
          <w:cols w:space="708"/>
          <w:docGrid w:linePitch="360"/>
        </w:sectPr>
      </w:pPr>
    </w:p>
    <w:p w:rsidRPr="00D861A3" w:rsidR="00E330F5" w:rsidP="006A0136" w:rsidRDefault="0090499F" w14:paraId="69DDFC22" w14:textId="77777777">
      <w:pPr>
        <w:pStyle w:val="NormalOCAshurst"/>
        <w:jc w:val="left"/>
        <w:rPr>
          <w:b/>
        </w:rPr>
      </w:pPr>
      <w:r w:rsidRPr="00D861A3">
        <w:rPr>
          <w:b/>
        </w:rPr>
        <w:lastRenderedPageBreak/>
        <w:t>Supplement to the Offering Circular</w:t>
      </w:r>
    </w:p>
    <w:p w:rsidRPr="00D861A3" w:rsidR="00E330F5" w:rsidP="006A0136" w:rsidRDefault="0090499F" w14:paraId="041E835D" w14:textId="009A2F34">
      <w:pPr>
        <w:pStyle w:val="NormalAshurst"/>
        <w:tabs>
          <w:tab w:val="left" w:pos="5670"/>
        </w:tabs>
        <w:rPr>
          <w:rFonts w:ascii="Times New Roman" w:hAnsi="Times New Roman" w:cs="Times New Roman"/>
          <w:sz w:val="20"/>
        </w:rPr>
      </w:pPr>
      <w:r w:rsidRPr="00D861A3">
        <w:rPr>
          <w:rFonts w:ascii="Times New Roman" w:hAnsi="Times New Roman" w:cs="Times New Roman"/>
          <w:sz w:val="20"/>
        </w:rPr>
        <w:t>This supplement (the "</w:t>
      </w:r>
      <w:r w:rsidRPr="00D861A3">
        <w:rPr>
          <w:rFonts w:ascii="Times New Roman" w:hAnsi="Times New Roman" w:cs="Times New Roman"/>
          <w:b/>
          <w:sz w:val="20"/>
        </w:rPr>
        <w:t>Supplement</w:t>
      </w:r>
      <w:r w:rsidRPr="00D861A3">
        <w:rPr>
          <w:rFonts w:ascii="Times New Roman" w:hAnsi="Times New Roman" w:cs="Times New Roman"/>
          <w:sz w:val="20"/>
        </w:rPr>
        <w:t xml:space="preserve">") constitutes a supplement to the offering circular dated </w:t>
      </w:r>
      <w:r w:rsidRPr="00D861A3" w:rsidR="00692D0A">
        <w:rPr>
          <w:rFonts w:ascii="Times New Roman" w:hAnsi="Times New Roman" w:cs="Times New Roman"/>
          <w:sz w:val="20"/>
        </w:rPr>
        <w:t>1</w:t>
      </w:r>
      <w:r w:rsidRPr="00D861A3" w:rsidR="00032215">
        <w:rPr>
          <w:rFonts w:ascii="Times New Roman" w:hAnsi="Times New Roman" w:cs="Times New Roman"/>
          <w:sz w:val="20"/>
        </w:rPr>
        <w:t>7</w:t>
      </w:r>
      <w:r w:rsidRPr="00D861A3" w:rsidR="00692D0A">
        <w:rPr>
          <w:rFonts w:ascii="Times New Roman" w:hAnsi="Times New Roman" w:cs="Times New Roman"/>
          <w:sz w:val="20"/>
        </w:rPr>
        <w:t xml:space="preserve"> April 202</w:t>
      </w:r>
      <w:r w:rsidRPr="00D861A3" w:rsidR="00032215">
        <w:rPr>
          <w:rFonts w:ascii="Times New Roman" w:hAnsi="Times New Roman" w:cs="Times New Roman"/>
          <w:sz w:val="20"/>
        </w:rPr>
        <w:t>5</w:t>
      </w:r>
      <w:r w:rsidRPr="00D861A3" w:rsidR="00F13F6A">
        <w:rPr>
          <w:rFonts w:ascii="Times New Roman" w:hAnsi="Times New Roman" w:cs="Times New Roman"/>
          <w:sz w:val="20"/>
        </w:rPr>
        <w:t xml:space="preserve"> </w:t>
      </w:r>
      <w:r w:rsidRPr="00D861A3" w:rsidR="00183207">
        <w:rPr>
          <w:rFonts w:ascii="Times New Roman" w:hAnsi="Times New Roman" w:cs="Times New Roman"/>
          <w:sz w:val="20"/>
          <w:szCs w:val="20"/>
        </w:rPr>
        <w:t>(the "</w:t>
      </w:r>
      <w:r w:rsidRPr="00D861A3" w:rsidR="00183207">
        <w:rPr>
          <w:rFonts w:ascii="Times New Roman" w:hAnsi="Times New Roman" w:cs="Times New Roman"/>
          <w:b/>
          <w:bCs/>
          <w:sz w:val="20"/>
          <w:szCs w:val="20"/>
        </w:rPr>
        <w:t xml:space="preserve">Original </w:t>
      </w:r>
      <w:r w:rsidRPr="00D861A3" w:rsidR="00183207">
        <w:rPr>
          <w:rFonts w:ascii="Times New Roman" w:hAnsi="Times New Roman" w:cs="Times New Roman"/>
          <w:b/>
          <w:sz w:val="20"/>
          <w:szCs w:val="20"/>
        </w:rPr>
        <w:t>Offering Circular</w:t>
      </w:r>
      <w:r w:rsidRPr="00D861A3" w:rsidR="00183207">
        <w:rPr>
          <w:rFonts w:ascii="Times New Roman" w:hAnsi="Times New Roman" w:cs="Times New Roman"/>
          <w:sz w:val="20"/>
          <w:szCs w:val="20"/>
        </w:rPr>
        <w:t>") as supplemented by Supplement No. 1 dated 15 May 2025</w:t>
      </w:r>
      <w:r w:rsidRPr="00D861A3" w:rsidR="008855BC">
        <w:rPr>
          <w:rFonts w:ascii="Times New Roman" w:hAnsi="Times New Roman" w:cs="Times New Roman"/>
          <w:sz w:val="20"/>
          <w:szCs w:val="20"/>
        </w:rPr>
        <w:t>,</w:t>
      </w:r>
      <w:r w:rsidRPr="00D861A3" w:rsidR="00360997">
        <w:rPr>
          <w:rFonts w:ascii="Times New Roman" w:hAnsi="Times New Roman" w:cs="Times New Roman"/>
          <w:sz w:val="20"/>
          <w:szCs w:val="20"/>
        </w:rPr>
        <w:t xml:space="preserve"> Supplement No. 2 dated 29 July 2025</w:t>
      </w:r>
      <w:r w:rsidRPr="00D861A3" w:rsidR="0027665E">
        <w:rPr>
          <w:rFonts w:ascii="Times New Roman" w:hAnsi="Times New Roman" w:cs="Times New Roman"/>
          <w:sz w:val="20"/>
          <w:szCs w:val="20"/>
        </w:rPr>
        <w:t>,</w:t>
      </w:r>
      <w:r w:rsidRPr="00D861A3" w:rsidR="008855BC">
        <w:rPr>
          <w:rFonts w:ascii="Times New Roman" w:hAnsi="Times New Roman" w:cs="Times New Roman"/>
          <w:sz w:val="20"/>
          <w:szCs w:val="20"/>
        </w:rPr>
        <w:t xml:space="preserve"> Supplement No. 3 dated 6 August 2025</w:t>
      </w:r>
      <w:r w:rsidRPr="00D861A3" w:rsidR="00687AB6">
        <w:rPr>
          <w:rFonts w:ascii="Times New Roman" w:hAnsi="Times New Roman" w:cs="Times New Roman"/>
          <w:sz w:val="20"/>
          <w:szCs w:val="20"/>
        </w:rPr>
        <w:t>,</w:t>
      </w:r>
      <w:r w:rsidRPr="00D861A3" w:rsidR="0027665E">
        <w:rPr>
          <w:rFonts w:ascii="Times New Roman" w:hAnsi="Times New Roman" w:cs="Times New Roman"/>
          <w:sz w:val="20"/>
          <w:szCs w:val="20"/>
        </w:rPr>
        <w:t xml:space="preserve"> Supplement No. 4 dated 21 August 2025</w:t>
      </w:r>
      <w:r w:rsidRPr="00D861A3" w:rsidR="00C612A2">
        <w:rPr>
          <w:rFonts w:ascii="Times New Roman" w:hAnsi="Times New Roman" w:cs="Times New Roman"/>
          <w:sz w:val="20"/>
          <w:szCs w:val="20"/>
        </w:rPr>
        <w:t>,</w:t>
      </w:r>
      <w:r w:rsidRPr="00D861A3" w:rsidR="00687AB6">
        <w:rPr>
          <w:rFonts w:ascii="Times New Roman" w:hAnsi="Times New Roman" w:cs="Times New Roman"/>
          <w:sz w:val="20"/>
          <w:szCs w:val="20"/>
        </w:rPr>
        <w:t xml:space="preserve"> Supplement No. 5 dated 11 September 2025</w:t>
      </w:r>
      <w:r w:rsidRPr="00D861A3" w:rsidR="00C9548C">
        <w:rPr>
          <w:rFonts w:ascii="Times New Roman" w:hAnsi="Times New Roman" w:cs="Times New Roman"/>
          <w:sz w:val="20"/>
          <w:szCs w:val="20"/>
        </w:rPr>
        <w:t xml:space="preserve">, </w:t>
      </w:r>
      <w:r w:rsidRPr="00D861A3" w:rsidR="00C612A2">
        <w:rPr>
          <w:rFonts w:ascii="Times New Roman" w:hAnsi="Times New Roman" w:cs="Times New Roman"/>
          <w:sz w:val="20"/>
          <w:szCs w:val="20"/>
        </w:rPr>
        <w:t>Supplement No. 6 dated 30 October 2025</w:t>
      </w:r>
      <w:r w:rsidRPr="00D861A3" w:rsidR="00C9548C">
        <w:rPr>
          <w:rFonts w:ascii="Times New Roman" w:hAnsi="Times New Roman" w:cs="Times New Roman"/>
          <w:sz w:val="20"/>
          <w:szCs w:val="20"/>
        </w:rPr>
        <w:t xml:space="preserve"> and Supplement No. 7 dated 20 November 2025</w:t>
      </w:r>
      <w:r w:rsidRPr="00D861A3" w:rsidR="00183207">
        <w:rPr>
          <w:rFonts w:ascii="Times New Roman" w:hAnsi="Times New Roman" w:cs="Times New Roman"/>
          <w:sz w:val="20"/>
          <w:szCs w:val="20"/>
        </w:rPr>
        <w:t xml:space="preserve"> (the Original Offering Circular as so supplemented, the "</w:t>
      </w:r>
      <w:r w:rsidRPr="00D861A3" w:rsidR="00183207">
        <w:rPr>
          <w:rFonts w:ascii="Times New Roman" w:hAnsi="Times New Roman" w:cs="Times New Roman"/>
          <w:b/>
          <w:bCs/>
          <w:sz w:val="20"/>
          <w:szCs w:val="20"/>
        </w:rPr>
        <w:t>Offering Circular</w:t>
      </w:r>
      <w:r w:rsidRPr="00D861A3" w:rsidR="00183207">
        <w:rPr>
          <w:rFonts w:ascii="Times New Roman" w:hAnsi="Times New Roman" w:cs="Times New Roman"/>
          <w:sz w:val="20"/>
          <w:szCs w:val="20"/>
        </w:rPr>
        <w:t xml:space="preserve">"), </w:t>
      </w:r>
      <w:r w:rsidRPr="00D861A3">
        <w:rPr>
          <w:rFonts w:ascii="Times New Roman" w:hAnsi="Times New Roman" w:cs="Times New Roman"/>
          <w:sz w:val="20"/>
        </w:rPr>
        <w:t>prepared in connection with the Note, Warrant and Certificate Programme (the "</w:t>
      </w:r>
      <w:r w:rsidRPr="00D861A3">
        <w:rPr>
          <w:rFonts w:ascii="Times New Roman" w:hAnsi="Times New Roman" w:cs="Times New Roman"/>
          <w:b/>
          <w:sz w:val="20"/>
        </w:rPr>
        <w:t>Programme</w:t>
      </w:r>
      <w:r w:rsidRPr="00D861A3">
        <w:rPr>
          <w:rFonts w:ascii="Times New Roman" w:hAnsi="Times New Roman" w:cs="Times New Roman"/>
          <w:sz w:val="20"/>
        </w:rPr>
        <w:t>") of J.P. Morgan Structured Products B.V. ("</w:t>
      </w:r>
      <w:r w:rsidRPr="00D861A3">
        <w:rPr>
          <w:rFonts w:ascii="Times New Roman" w:hAnsi="Times New Roman" w:cs="Times New Roman"/>
          <w:b/>
          <w:sz w:val="20"/>
        </w:rPr>
        <w:t>JPMSP</w:t>
      </w:r>
      <w:r w:rsidRPr="00D861A3">
        <w:rPr>
          <w:rFonts w:ascii="Times New Roman" w:hAnsi="Times New Roman" w:cs="Times New Roman"/>
          <w:sz w:val="20"/>
        </w:rPr>
        <w:t>"), JPMorgan Chase Financial Company LLC ("</w:t>
      </w:r>
      <w:r w:rsidRPr="00D861A3">
        <w:rPr>
          <w:rFonts w:ascii="Times New Roman" w:hAnsi="Times New Roman" w:cs="Times New Roman"/>
          <w:b/>
          <w:sz w:val="20"/>
        </w:rPr>
        <w:t>JPMCFC</w:t>
      </w:r>
      <w:r w:rsidRPr="00D861A3">
        <w:rPr>
          <w:rFonts w:ascii="Times New Roman" w:hAnsi="Times New Roman" w:cs="Times New Roman"/>
          <w:sz w:val="20"/>
        </w:rPr>
        <w:t>"), JPMorgan Chase Bank, N.A. and JPMorgan Chase &amp; Co.</w:t>
      </w:r>
    </w:p>
    <w:p w:rsidRPr="00D861A3" w:rsidR="00E330F5" w:rsidP="006A0136" w:rsidRDefault="0090499F" w14:paraId="21A2468D" w14:textId="77777777">
      <w:pPr>
        <w:pStyle w:val="NormalOCAshurst"/>
        <w:jc w:val="left"/>
        <w:rPr>
          <w:b/>
        </w:rPr>
      </w:pPr>
      <w:r w:rsidRPr="00D861A3">
        <w:rPr>
          <w:b/>
        </w:rPr>
        <w:t>Status of Supplement</w:t>
      </w:r>
    </w:p>
    <w:p w:rsidRPr="00D861A3" w:rsidR="00F13F6A" w:rsidP="00F13F6A" w:rsidRDefault="0090499F" w14:paraId="697958CD" w14:textId="77777777">
      <w:pPr>
        <w:pStyle w:val="NormalAshurst"/>
        <w:rPr>
          <w:rFonts w:ascii="Times New Roman" w:hAnsi="Times New Roman" w:cs="Times New Roman"/>
          <w:sz w:val="20"/>
        </w:rPr>
      </w:pPr>
      <w:r w:rsidRPr="00D861A3">
        <w:rPr>
          <w:rFonts w:ascii="Times New Roman" w:hAnsi="Times New Roman" w:cs="Times New Roman"/>
          <w:sz w:val="20"/>
        </w:rPr>
        <w:t>The Supplement is supplemental to, and shall be read in conjunction with, the Offering Circular. Unless otherwise defined in this Supplement, terms defined in the Offering Circular have the same meaning when used in this Supplement.</w:t>
      </w:r>
    </w:p>
    <w:p w:rsidRPr="00D861A3" w:rsidR="00F13F6A" w:rsidP="00F13F6A" w:rsidRDefault="0090499F" w14:paraId="6F50988C" w14:textId="77777777">
      <w:pPr>
        <w:pStyle w:val="NormalAshurst"/>
        <w:rPr>
          <w:rFonts w:ascii="Times New Roman" w:hAnsi="Times New Roman" w:cs="Times New Roman"/>
          <w:sz w:val="20"/>
        </w:rPr>
      </w:pPr>
      <w:r w:rsidRPr="00D861A3">
        <w:rPr>
          <w:rFonts w:ascii="Times New Roman" w:hAnsi="Times New Roman" w:cs="Times New Roman"/>
          <w:sz w:val="20"/>
        </w:rPr>
        <w:t>The Supplement has been approved by Euronext Dublin pursuant to the GEM Rules and by the Luxembourg Stock Exchange pursuant to the rules and regulations of the Luxembourg Stock Exchange for the Euro MTF Market.</w:t>
      </w:r>
    </w:p>
    <w:p w:rsidRPr="00D861A3" w:rsidR="00E330F5" w:rsidP="000D792E" w:rsidRDefault="0090499F" w14:paraId="01F9182B" w14:textId="68C62D36">
      <w:pPr>
        <w:pStyle w:val="NormalAshurst"/>
        <w:rPr>
          <w:rFonts w:ascii="Times New Roman" w:hAnsi="Times New Roman" w:cs="Times New Roman"/>
          <w:sz w:val="20"/>
        </w:rPr>
      </w:pPr>
      <w:r w:rsidRPr="00D861A3">
        <w:rPr>
          <w:rFonts w:ascii="Times New Roman" w:hAnsi="Times New Roman" w:cs="Times New Roman"/>
          <w:sz w:val="20"/>
        </w:rPr>
        <w:t>The Supplement has been filed with SIX Exchange Regulation Ltd as the competent reviewing body (the "</w:t>
      </w:r>
      <w:r w:rsidRPr="00D861A3">
        <w:rPr>
          <w:rFonts w:ascii="Times New Roman" w:hAnsi="Times New Roman" w:cs="Times New Roman"/>
          <w:b/>
          <w:bCs/>
          <w:sz w:val="20"/>
        </w:rPr>
        <w:t>Reviewing Body</w:t>
      </w:r>
      <w:r w:rsidRPr="00D861A3">
        <w:rPr>
          <w:rFonts w:ascii="Times New Roman" w:hAnsi="Times New Roman" w:cs="Times New Roman"/>
          <w:sz w:val="20"/>
        </w:rPr>
        <w:t>") under the Swiss Financial Services Act ("</w:t>
      </w:r>
      <w:r w:rsidRPr="00D861A3">
        <w:rPr>
          <w:rFonts w:ascii="Times New Roman" w:hAnsi="Times New Roman" w:cs="Times New Roman"/>
          <w:b/>
          <w:bCs/>
          <w:sz w:val="20"/>
        </w:rPr>
        <w:t>FinSA</w:t>
      </w:r>
      <w:r w:rsidRPr="00D861A3">
        <w:rPr>
          <w:rFonts w:ascii="Times New Roman" w:hAnsi="Times New Roman" w:cs="Times New Roman"/>
          <w:sz w:val="20"/>
        </w:rPr>
        <w:t xml:space="preserve">") on </w:t>
      </w:r>
      <w:r w:rsidRPr="00D861A3" w:rsidR="00C9548C">
        <w:rPr>
          <w:rFonts w:ascii="Times New Roman" w:hAnsi="Times New Roman" w:cs="Times New Roman"/>
          <w:sz w:val="20"/>
        </w:rPr>
        <w:t>29 January</w:t>
      </w:r>
      <w:r w:rsidRPr="00D861A3" w:rsidR="00692D0A">
        <w:rPr>
          <w:rFonts w:ascii="Times New Roman" w:hAnsi="Times New Roman" w:cs="Times New Roman"/>
          <w:bCs/>
          <w:sz w:val="20"/>
        </w:rPr>
        <w:t xml:space="preserve"> 202</w:t>
      </w:r>
      <w:r w:rsidRPr="00D861A3" w:rsidR="00C9548C">
        <w:rPr>
          <w:rFonts w:ascii="Times New Roman" w:hAnsi="Times New Roman" w:cs="Times New Roman"/>
          <w:bCs/>
          <w:sz w:val="20"/>
        </w:rPr>
        <w:t>6</w:t>
      </w:r>
      <w:r w:rsidRPr="00D861A3">
        <w:rPr>
          <w:rFonts w:ascii="Times New Roman" w:hAnsi="Times New Roman" w:cs="Times New Roman"/>
          <w:bCs/>
          <w:sz w:val="20"/>
        </w:rPr>
        <w:t>.</w:t>
      </w:r>
    </w:p>
    <w:p w:rsidRPr="00D861A3" w:rsidR="00E330F5" w:rsidP="006A0136" w:rsidRDefault="0090499F" w14:paraId="4C20CCE9" w14:textId="77777777">
      <w:pPr>
        <w:pStyle w:val="NormalOCAshurst"/>
        <w:jc w:val="left"/>
        <w:rPr>
          <w:b/>
        </w:rPr>
      </w:pPr>
      <w:r w:rsidRPr="00D861A3">
        <w:rPr>
          <w:b/>
        </w:rPr>
        <w:t>Responsibility</w:t>
      </w:r>
    </w:p>
    <w:p w:rsidRPr="00D861A3" w:rsidR="00F13F6A" w:rsidP="00F13F6A" w:rsidRDefault="0090499F" w14:paraId="2161F5B1" w14:textId="77777777">
      <w:pPr>
        <w:pStyle w:val="NormalAshurst"/>
        <w:rPr>
          <w:rFonts w:ascii="Times New Roman" w:hAnsi="Times New Roman" w:cs="Times New Roman"/>
          <w:sz w:val="20"/>
        </w:rPr>
      </w:pPr>
      <w:r w:rsidRPr="00D861A3">
        <w:rPr>
          <w:rFonts w:ascii="Times New Roman" w:hAnsi="Times New Roman" w:cs="Times New Roman"/>
          <w:sz w:val="20"/>
        </w:rPr>
        <w:t>Each of JPMSP, JPMCFC, JPMorgan Chase Bank, N.A. and JPMorgan Chase &amp; Co. accepts responsibility for the information contained in this Supplement and to the best of the knowledge of JPMSP, JPMCFC, JPMorgan Chase Bank, N.A. and JPMorgan Chase &amp; Co. (each having taken all reasonable care to ensure that such is the case), the information contained in this Supplement is in accordance with the facts and does not omit anything likely to affect the import of such information.</w:t>
      </w:r>
    </w:p>
    <w:p w:rsidRPr="00D861A3" w:rsidR="00E330F5" w:rsidP="006A0136" w:rsidRDefault="0090499F" w14:paraId="461B591F" w14:textId="77777777">
      <w:pPr>
        <w:pStyle w:val="NormalAshurst"/>
        <w:rPr>
          <w:rFonts w:ascii="Times New Roman" w:hAnsi="Times New Roman" w:cs="Times New Roman"/>
          <w:b/>
          <w:sz w:val="20"/>
        </w:rPr>
      </w:pPr>
      <w:r w:rsidRPr="00D861A3">
        <w:rPr>
          <w:rFonts w:ascii="Times New Roman" w:hAnsi="Times New Roman" w:cs="Times New Roman"/>
          <w:b/>
          <w:sz w:val="20"/>
        </w:rPr>
        <w:t>Purpose of Supplement</w:t>
      </w:r>
    </w:p>
    <w:p w:rsidRPr="00D861A3" w:rsidR="000D0C45" w:rsidP="009727D0" w:rsidRDefault="009727D0" w14:paraId="2236E197" w14:textId="110F6C46">
      <w:pPr>
        <w:pStyle w:val="NormalAshurst"/>
        <w:rPr>
          <w:rFonts w:ascii="Times New Roman" w:hAnsi="Times New Roman"/>
          <w:sz w:val="20"/>
        </w:rPr>
      </w:pPr>
      <w:r w:rsidRPr="00D861A3">
        <w:rPr>
          <w:rFonts w:ascii="Times New Roman" w:hAnsi="Times New Roman" w:cs="Times New Roman"/>
          <w:sz w:val="20"/>
        </w:rPr>
        <w:t>The purpose of this Supplement is to</w:t>
      </w:r>
      <w:r w:rsidRPr="00D861A3" w:rsidR="00FE595B">
        <w:rPr>
          <w:rFonts w:ascii="Times New Roman" w:hAnsi="Times New Roman" w:cs="Times New Roman"/>
          <w:sz w:val="20"/>
        </w:rPr>
        <w:t xml:space="preserve"> (a)</w:t>
      </w:r>
      <w:r w:rsidRPr="00D861A3">
        <w:rPr>
          <w:rFonts w:ascii="Times New Roman" w:hAnsi="Times New Roman" w:cs="Times New Roman"/>
          <w:sz w:val="20"/>
        </w:rPr>
        <w:t xml:space="preserve"> incorporate by reference into the Offering Circular the JPMorgan Chase &amp; Co. </w:t>
      </w:r>
      <w:r w:rsidRPr="00D861A3" w:rsidR="0041368F">
        <w:rPr>
          <w:rFonts w:ascii="Times New Roman" w:hAnsi="Times New Roman" w:cs="Times New Roman"/>
          <w:sz w:val="20"/>
        </w:rPr>
        <w:t xml:space="preserve">13 </w:t>
      </w:r>
      <w:r w:rsidRPr="00D861A3" w:rsidR="009A6864">
        <w:rPr>
          <w:rFonts w:ascii="Times New Roman" w:hAnsi="Times New Roman" w:cs="Times New Roman"/>
          <w:sz w:val="20"/>
        </w:rPr>
        <w:t xml:space="preserve">January 2026 </w:t>
      </w:r>
      <w:r w:rsidRPr="00D861A3">
        <w:rPr>
          <w:rFonts w:ascii="Times New Roman" w:hAnsi="Times New Roman" w:cs="Times New Roman"/>
          <w:sz w:val="20"/>
        </w:rPr>
        <w:t xml:space="preserve">Form </w:t>
      </w:r>
      <w:r w:rsidRPr="00D861A3" w:rsidR="009A6864">
        <w:rPr>
          <w:rFonts w:ascii="Times New Roman" w:hAnsi="Times New Roman" w:cs="Times New Roman"/>
          <w:sz w:val="20"/>
        </w:rPr>
        <w:t xml:space="preserve">8-K </w:t>
      </w:r>
      <w:r w:rsidRPr="00D861A3">
        <w:rPr>
          <w:rFonts w:ascii="Times New Roman" w:hAnsi="Times New Roman" w:cs="Times New Roman"/>
          <w:sz w:val="20"/>
        </w:rPr>
        <w:t>(as defined below)</w:t>
      </w:r>
      <w:r w:rsidRPr="00D861A3" w:rsidR="00FE595B">
        <w:rPr>
          <w:rFonts w:ascii="Times New Roman" w:hAnsi="Times New Roman" w:cs="Times New Roman"/>
          <w:sz w:val="20"/>
        </w:rPr>
        <w:t xml:space="preserve"> and (b) make certain amendments and changes to the information in the section</w:t>
      </w:r>
      <w:r w:rsidRPr="00D861A3" w:rsidR="00A42C07">
        <w:rPr>
          <w:rFonts w:ascii="Times New Roman" w:hAnsi="Times New Roman" w:cs="Times New Roman"/>
          <w:sz w:val="20"/>
        </w:rPr>
        <w:t>s</w:t>
      </w:r>
      <w:r w:rsidRPr="00D861A3" w:rsidR="00FE595B">
        <w:rPr>
          <w:rFonts w:ascii="Times New Roman" w:hAnsi="Times New Roman" w:cs="Times New Roman"/>
          <w:sz w:val="20"/>
        </w:rPr>
        <w:t xml:space="preserve"> entitled "</w:t>
      </w:r>
      <w:r w:rsidRPr="00D861A3" w:rsidR="00F315E4">
        <w:rPr>
          <w:rFonts w:ascii="Times New Roman" w:hAnsi="Times New Roman" w:cs="Times New Roman"/>
          <w:sz w:val="20"/>
        </w:rPr>
        <w:t>Introduction to this Document</w:t>
      </w:r>
      <w:r w:rsidRPr="00D861A3" w:rsidR="00FE595B">
        <w:rPr>
          <w:rFonts w:ascii="Times New Roman" w:hAnsi="Times New Roman" w:cs="Times New Roman"/>
          <w:sz w:val="20"/>
        </w:rPr>
        <w:t>"</w:t>
      </w:r>
      <w:r w:rsidRPr="00D861A3" w:rsidR="00A42C07">
        <w:rPr>
          <w:rFonts w:ascii="Times New Roman" w:hAnsi="Times New Roman" w:cs="Times New Roman"/>
          <w:sz w:val="20"/>
        </w:rPr>
        <w:t>, "</w:t>
      </w:r>
      <w:r w:rsidRPr="00D861A3" w:rsidR="00F315E4">
        <w:rPr>
          <w:rFonts w:ascii="Times New Roman" w:hAnsi="Times New Roman" w:cs="Times New Roman"/>
          <w:sz w:val="20"/>
        </w:rPr>
        <w:t>Important Notices</w:t>
      </w:r>
      <w:r w:rsidRPr="00D861A3" w:rsidR="00A42C07">
        <w:rPr>
          <w:rFonts w:ascii="Times New Roman" w:hAnsi="Times New Roman" w:cs="Times New Roman"/>
          <w:sz w:val="20"/>
        </w:rPr>
        <w:t>", "</w:t>
      </w:r>
      <w:r w:rsidRPr="00D861A3" w:rsidR="00F315E4">
        <w:rPr>
          <w:rFonts w:ascii="Times New Roman" w:hAnsi="Times New Roman" w:cs="Times New Roman"/>
          <w:sz w:val="20"/>
        </w:rPr>
        <w:t>Summary of the Programme</w:t>
      </w:r>
      <w:r w:rsidRPr="00D861A3" w:rsidR="00A42C07">
        <w:rPr>
          <w:rFonts w:ascii="Times New Roman" w:hAnsi="Times New Roman" w:cs="Times New Roman"/>
          <w:sz w:val="20"/>
        </w:rPr>
        <w:t>"</w:t>
      </w:r>
      <w:r w:rsidRPr="00D861A3" w:rsidR="00325E23">
        <w:rPr>
          <w:rFonts w:ascii="Times New Roman" w:hAnsi="Times New Roman" w:cs="Times New Roman"/>
          <w:sz w:val="20"/>
        </w:rPr>
        <w:t>,</w:t>
      </w:r>
      <w:r w:rsidRPr="00D861A3" w:rsidR="00A42C07">
        <w:rPr>
          <w:rFonts w:ascii="Times New Roman" w:hAnsi="Times New Roman" w:cs="Times New Roman"/>
          <w:sz w:val="20"/>
        </w:rPr>
        <w:t xml:space="preserve"> "</w:t>
      </w:r>
      <w:r w:rsidRPr="00D861A3" w:rsidR="00F315E4">
        <w:rPr>
          <w:rFonts w:ascii="Times New Roman" w:hAnsi="Times New Roman" w:cs="Times New Roman"/>
          <w:sz w:val="20"/>
        </w:rPr>
        <w:t>User's Guide to the Offering Circular</w:t>
      </w:r>
      <w:r w:rsidRPr="00D861A3" w:rsidR="00A42C07">
        <w:rPr>
          <w:rFonts w:ascii="Times New Roman" w:hAnsi="Times New Roman" w:cs="Times New Roman"/>
          <w:sz w:val="20"/>
        </w:rPr>
        <w:t>"</w:t>
      </w:r>
      <w:r w:rsidRPr="00D861A3" w:rsidR="00F14897">
        <w:rPr>
          <w:rFonts w:ascii="Times New Roman" w:hAnsi="Times New Roman" w:cs="Times New Roman"/>
          <w:sz w:val="20"/>
        </w:rPr>
        <w:t>,</w:t>
      </w:r>
      <w:r w:rsidRPr="00D861A3" w:rsidR="00325E23">
        <w:rPr>
          <w:rFonts w:ascii="Times New Roman" w:hAnsi="Times New Roman" w:cs="Times New Roman"/>
          <w:sz w:val="20"/>
        </w:rPr>
        <w:t xml:space="preserve"> "</w:t>
      </w:r>
      <w:r w:rsidRPr="00D861A3" w:rsidR="00455278">
        <w:rPr>
          <w:rFonts w:ascii="Times New Roman" w:hAnsi="Times New Roman" w:cs="Times New Roman"/>
          <w:sz w:val="20"/>
        </w:rPr>
        <w:t>General Conditions</w:t>
      </w:r>
      <w:r w:rsidRPr="00D861A3" w:rsidR="00F14897">
        <w:rPr>
          <w:rFonts w:ascii="Times New Roman" w:hAnsi="Times New Roman" w:cs="Times New Roman"/>
          <w:sz w:val="20"/>
        </w:rPr>
        <w:t>"</w:t>
      </w:r>
      <w:r w:rsidRPr="00D861A3" w:rsidR="00F315E4">
        <w:rPr>
          <w:rFonts w:ascii="Times New Roman" w:hAnsi="Times New Roman" w:cs="Times New Roman"/>
          <w:sz w:val="20"/>
        </w:rPr>
        <w:t xml:space="preserve">, "Form of Pricing Supplement", "Subscription and Sale", "Purchaser Representations and Requirements and Transfer Restrictions" and "Important Legal Information" </w:t>
      </w:r>
      <w:r w:rsidRPr="00D861A3" w:rsidR="00FE595B">
        <w:rPr>
          <w:rFonts w:ascii="Times New Roman" w:hAnsi="Times New Roman" w:cs="Times New Roman"/>
          <w:sz w:val="20"/>
        </w:rPr>
        <w:t>in the Offering Circular</w:t>
      </w:r>
      <w:r w:rsidRPr="00D861A3">
        <w:rPr>
          <w:rFonts w:ascii="Times New Roman" w:hAnsi="Times New Roman" w:cs="Times New Roman"/>
          <w:sz w:val="20"/>
        </w:rPr>
        <w:t>.</w:t>
      </w:r>
    </w:p>
    <w:p w:rsidRPr="00D861A3" w:rsidR="009B756E" w:rsidP="001D411D" w:rsidRDefault="009B756E" w14:paraId="2E7923D7" w14:textId="77777777">
      <w:pPr>
        <w:pStyle w:val="NormalAshurst"/>
        <w:rPr>
          <w:rFonts w:ascii="Times New Roman" w:hAnsi="Times New Roman" w:cs="Times New Roman"/>
          <w:sz w:val="20"/>
        </w:rPr>
        <w:sectPr w:rsidRPr="00D861A3" w:rsidR="009B756E" w:rsidSect="00BC417C">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440" w:right="1440" w:bottom="1440" w:left="1440" w:header="720" w:footer="720" w:gutter="0"/>
          <w:cols w:space="720"/>
          <w:docGrid w:linePitch="245"/>
        </w:sectPr>
      </w:pPr>
    </w:p>
    <w:p w:rsidRPr="00D861A3" w:rsidR="000D0C45" w:rsidP="000D0C45" w:rsidRDefault="0090499F" w14:paraId="7860BB9B" w14:textId="77777777">
      <w:pPr>
        <w:pStyle w:val="NormalAshurst"/>
        <w:rPr>
          <w:rFonts w:ascii="Times New Roman" w:hAnsi="Times New Roman"/>
          <w:b/>
          <w:sz w:val="20"/>
        </w:rPr>
      </w:pPr>
      <w:r w:rsidRPr="00D861A3">
        <w:rPr>
          <w:rFonts w:ascii="Times New Roman" w:hAnsi="Times New Roman"/>
          <w:b/>
          <w:sz w:val="20"/>
        </w:rPr>
        <w:lastRenderedPageBreak/>
        <w:t>Information being supplemented</w:t>
      </w:r>
    </w:p>
    <w:p w:rsidRPr="00D861A3" w:rsidR="009C2131" w:rsidP="009C2131" w:rsidRDefault="009C2131" w14:paraId="35DB7206" w14:textId="77777777">
      <w:pPr>
        <w:pStyle w:val="NormalAshurst"/>
        <w:keepNext/>
        <w:spacing w:line="288" w:lineRule="auto"/>
        <w:ind w:left="567" w:hanging="567"/>
        <w:rPr>
          <w:rFonts w:ascii="Times New Roman" w:hAnsi="Times New Roman" w:cs="Times New Roman"/>
          <w:b/>
          <w:sz w:val="20"/>
          <w:szCs w:val="20"/>
        </w:rPr>
      </w:pPr>
      <w:r w:rsidRPr="00D861A3">
        <w:rPr>
          <w:rFonts w:ascii="Times New Roman" w:hAnsi="Times New Roman" w:cs="Times New Roman"/>
          <w:b/>
          <w:sz w:val="20"/>
          <w:szCs w:val="20"/>
        </w:rPr>
        <w:t>I.</w:t>
      </w:r>
      <w:r w:rsidRPr="00D861A3">
        <w:rPr>
          <w:rFonts w:ascii="Times New Roman" w:hAnsi="Times New Roman" w:cs="Times New Roman"/>
          <w:b/>
          <w:sz w:val="20"/>
          <w:szCs w:val="20"/>
        </w:rPr>
        <w:tab/>
        <w:t xml:space="preserve">Incorporation by reference </w:t>
      </w:r>
    </w:p>
    <w:p w:rsidRPr="00D861A3" w:rsidR="009C2131" w:rsidP="009C2131" w:rsidRDefault="009C2131" w14:paraId="3EB2139E" w14:textId="77777777">
      <w:pPr>
        <w:pStyle w:val="NormalAshurst"/>
        <w:ind w:left="567"/>
        <w:rPr>
          <w:rFonts w:ascii="Times New Roman" w:hAnsi="Times New Roman" w:cs="Times New Roman"/>
          <w:sz w:val="20"/>
          <w:szCs w:val="20"/>
        </w:rPr>
      </w:pPr>
      <w:bookmarkStart w:name="_Hlk110532264" w:id="1"/>
      <w:r w:rsidRPr="00D861A3">
        <w:rPr>
          <w:rFonts w:ascii="Times New Roman" w:hAnsi="Times New Roman" w:cs="Times New Roman"/>
          <w:sz w:val="20"/>
          <w:szCs w:val="20"/>
        </w:rPr>
        <w:t>This Supplement incorporates by reference into the Offering Circular:</w:t>
      </w:r>
    </w:p>
    <w:p w:rsidRPr="00D861A3" w:rsidR="009727D0" w:rsidP="00AA1F88" w:rsidRDefault="009C2131" w14:paraId="13D49AAE" w14:textId="2E994AFE">
      <w:pPr>
        <w:pStyle w:val="NormalAshurst"/>
        <w:ind w:left="1134" w:hanging="567"/>
        <w:rPr>
          <w:rFonts w:ascii="Times New Roman" w:hAnsi="Times New Roman" w:cs="Times New Roman"/>
          <w:sz w:val="20"/>
          <w:szCs w:val="20"/>
        </w:rPr>
      </w:pPr>
      <w:bookmarkStart w:name="_Hlk173776871" w:id="2"/>
      <w:bookmarkStart w:name="_Hlk110532325" w:id="3"/>
      <w:bookmarkEnd w:id="1"/>
      <w:r w:rsidRPr="00D861A3">
        <w:rPr>
          <w:rFonts w:ascii="Times New Roman" w:hAnsi="Times New Roman" w:cs="Times New Roman"/>
          <w:sz w:val="20"/>
          <w:szCs w:val="20"/>
        </w:rPr>
        <w:t>(a)</w:t>
      </w:r>
      <w:r w:rsidRPr="00D861A3">
        <w:rPr>
          <w:rFonts w:ascii="Times New Roman" w:hAnsi="Times New Roman" w:cs="Times New Roman"/>
          <w:b/>
          <w:sz w:val="20"/>
          <w:szCs w:val="20"/>
        </w:rPr>
        <w:tab/>
      </w:r>
      <w:bookmarkStart w:name="_Hlk213278348" w:id="4"/>
      <w:bookmarkEnd w:id="2"/>
      <w:r w:rsidRPr="00D861A3" w:rsidR="009A6864">
        <w:rPr>
          <w:rFonts w:ascii="Times New Roman" w:hAnsi="Times New Roman"/>
          <w:sz w:val="20"/>
          <w:szCs w:val="20"/>
        </w:rPr>
        <w:t xml:space="preserve">the Current Report on Form 8-K of JPMorgan Chase &amp; Co. dated </w:t>
      </w:r>
      <w:r w:rsidRPr="00D861A3" w:rsidR="004855C7">
        <w:rPr>
          <w:rFonts w:ascii="Times New Roman" w:hAnsi="Times New Roman"/>
          <w:sz w:val="20"/>
          <w:szCs w:val="20"/>
        </w:rPr>
        <w:t>13</w:t>
      </w:r>
      <w:r w:rsidRPr="00D861A3" w:rsidR="009A6864">
        <w:rPr>
          <w:rFonts w:ascii="Times New Roman" w:hAnsi="Times New Roman"/>
          <w:sz w:val="20"/>
          <w:szCs w:val="20"/>
        </w:rPr>
        <w:t xml:space="preserve"> January 2026, containing the earnings press release </w:t>
      </w:r>
      <w:r w:rsidRPr="00D861A3" w:rsidR="005A5196">
        <w:rPr>
          <w:rFonts w:ascii="Times New Roman" w:hAnsi="Times New Roman"/>
          <w:sz w:val="20"/>
          <w:szCs w:val="20"/>
        </w:rPr>
        <w:t xml:space="preserve">of </w:t>
      </w:r>
      <w:r w:rsidRPr="00D861A3" w:rsidR="009A6864">
        <w:rPr>
          <w:rFonts w:ascii="Times New Roman" w:hAnsi="Times New Roman"/>
          <w:sz w:val="20"/>
          <w:szCs w:val="20"/>
        </w:rPr>
        <w:t>JPMorgan Chase &amp; Co. for the quarter ended 31 December 2025, as filed with the United States Securities and Exchange Commission (the "</w:t>
      </w:r>
      <w:r w:rsidRPr="00D861A3" w:rsidR="009A6864">
        <w:rPr>
          <w:rFonts w:ascii="Times New Roman" w:hAnsi="Times New Roman"/>
          <w:b/>
          <w:bCs/>
          <w:sz w:val="20"/>
          <w:szCs w:val="20"/>
        </w:rPr>
        <w:t xml:space="preserve">JPMorgan Chase &amp; Co. </w:t>
      </w:r>
      <w:r w:rsidRPr="00D861A3" w:rsidR="004855C7">
        <w:rPr>
          <w:rFonts w:ascii="Times New Roman" w:hAnsi="Times New Roman"/>
          <w:b/>
          <w:bCs/>
          <w:sz w:val="20"/>
          <w:szCs w:val="20"/>
        </w:rPr>
        <w:t>13</w:t>
      </w:r>
      <w:r w:rsidRPr="00D861A3" w:rsidR="009A6864">
        <w:rPr>
          <w:rFonts w:ascii="Times New Roman" w:hAnsi="Times New Roman"/>
          <w:b/>
          <w:bCs/>
          <w:sz w:val="20"/>
          <w:szCs w:val="20"/>
        </w:rPr>
        <w:t xml:space="preserve"> January 2026 Form 8-K</w:t>
      </w:r>
      <w:r w:rsidRPr="00D861A3" w:rsidR="009A6864">
        <w:rPr>
          <w:rFonts w:ascii="Times New Roman" w:hAnsi="Times New Roman"/>
          <w:sz w:val="20"/>
          <w:szCs w:val="20"/>
        </w:rPr>
        <w:t xml:space="preserve"> </w:t>
      </w:r>
      <w:r w:rsidRPr="00D861A3" w:rsidR="009A6864">
        <w:rPr>
          <w:rFonts w:ascii="Times New Roman" w:hAnsi="Times New Roman" w:cs="Times New Roman"/>
          <w:sz w:val="20"/>
          <w:szCs w:val="20"/>
        </w:rPr>
        <w:t xml:space="preserve">") </w:t>
      </w:r>
      <w:bookmarkEnd w:id="4"/>
      <w:r w:rsidRPr="00D861A3" w:rsidR="009A6864">
        <w:rPr>
          <w:rFonts w:ascii="Times New Roman" w:hAnsi="Times New Roman" w:cs="Times New Roman"/>
          <w:sz w:val="20"/>
          <w:szCs w:val="20"/>
        </w:rPr>
        <w:t xml:space="preserve">(available at </w:t>
      </w:r>
      <w:hyperlink w:history="1" r:id="rId20">
        <w:r w:rsidRPr="00D861A3" w:rsidR="0048668A">
          <w:rPr>
            <w:rStyle w:val="Hyperlink"/>
            <w:rFonts w:ascii="Times New Roman" w:hAnsi="Times New Roman"/>
            <w:sz w:val="20"/>
            <w:szCs w:val="20"/>
          </w:rPr>
          <w:t>https://dl.luxse.com/dlp/103d4755c010b744298ce9e598d190a6fe</w:t>
        </w:r>
      </w:hyperlink>
      <w:r w:rsidRPr="00D861A3" w:rsidR="009A6864">
        <w:rPr>
          <w:rFonts w:ascii="Times New Roman" w:hAnsi="Times New Roman" w:cs="Times New Roman"/>
          <w:sz w:val="20"/>
          <w:szCs w:val="20"/>
        </w:rPr>
        <w:t>)</w:t>
      </w:r>
      <w:r w:rsidRPr="00D861A3" w:rsidR="00AA1F88">
        <w:rPr>
          <w:rFonts w:ascii="Times New Roman" w:hAnsi="Times New Roman" w:cs="Times New Roman"/>
          <w:sz w:val="20"/>
          <w:szCs w:val="20"/>
        </w:rPr>
        <w:t>.</w:t>
      </w:r>
    </w:p>
    <w:tbl>
      <w:tblPr>
        <w:tblW w:w="8505" w:type="dxa"/>
        <w:tblInd w:w="567" w:type="dxa"/>
        <w:tblLook w:val="01E0" w:firstRow="1" w:lastRow="1" w:firstColumn="1" w:lastColumn="1" w:noHBand="0" w:noVBand="0"/>
      </w:tblPr>
      <w:tblGrid>
        <w:gridCol w:w="805"/>
        <w:gridCol w:w="6047"/>
        <w:gridCol w:w="1653"/>
      </w:tblGrid>
      <w:tr w:rsidRPr="00D861A3" w:rsidR="009A6864" w:rsidTr="0031533F" w14:paraId="6DDF2F37" w14:textId="77777777">
        <w:tc>
          <w:tcPr>
            <w:tcW w:w="6852" w:type="dxa"/>
            <w:gridSpan w:val="2"/>
          </w:tcPr>
          <w:bookmarkEnd w:id="3"/>
          <w:p w:rsidRPr="00D861A3" w:rsidR="009A6864" w:rsidP="0031533F" w:rsidRDefault="009A6864" w14:paraId="17D16637" w14:textId="77777777">
            <w:pPr>
              <w:suppressAutoHyphens/>
              <w:spacing w:line="288" w:lineRule="auto"/>
              <w:rPr>
                <w:rFonts w:ascii="Times New Roman" w:hAnsi="Times New Roman"/>
                <w:b/>
              </w:rPr>
            </w:pPr>
            <w:r w:rsidRPr="00D861A3">
              <w:rPr>
                <w:rFonts w:ascii="Times New Roman" w:hAnsi="Times New Roman"/>
                <w:b/>
              </w:rPr>
              <w:t>Information incorporated by reference</w:t>
            </w:r>
          </w:p>
          <w:p w:rsidRPr="00D861A3" w:rsidR="009A6864" w:rsidP="0031533F" w:rsidRDefault="009A6864" w14:paraId="574B13B0" w14:textId="77777777">
            <w:pPr>
              <w:suppressAutoHyphens/>
              <w:spacing w:line="288" w:lineRule="auto"/>
              <w:rPr>
                <w:rFonts w:ascii="Times New Roman" w:hAnsi="Times New Roman"/>
                <w:b/>
              </w:rPr>
            </w:pPr>
          </w:p>
        </w:tc>
        <w:tc>
          <w:tcPr>
            <w:tcW w:w="1653" w:type="dxa"/>
            <w:hideMark/>
          </w:tcPr>
          <w:p w:rsidRPr="00D861A3" w:rsidR="009A6864" w:rsidP="0031533F" w:rsidRDefault="009A6864" w14:paraId="763F1A41" w14:textId="77777777">
            <w:pPr>
              <w:suppressAutoHyphens/>
              <w:spacing w:line="288" w:lineRule="auto"/>
              <w:jc w:val="right"/>
              <w:rPr>
                <w:rFonts w:ascii="Times New Roman" w:hAnsi="Times New Roman"/>
                <w:b/>
              </w:rPr>
            </w:pPr>
            <w:r w:rsidRPr="00D861A3">
              <w:rPr>
                <w:rFonts w:ascii="Times New Roman" w:hAnsi="Times New Roman"/>
                <w:b/>
              </w:rPr>
              <w:t>Page Number</w:t>
            </w:r>
          </w:p>
        </w:tc>
      </w:tr>
      <w:tr w:rsidRPr="00D861A3" w:rsidR="009A6864" w:rsidTr="0031533F" w14:paraId="620E3AD2" w14:textId="77777777">
        <w:tc>
          <w:tcPr>
            <w:tcW w:w="6852" w:type="dxa"/>
            <w:gridSpan w:val="2"/>
            <w:hideMark/>
          </w:tcPr>
          <w:p w:rsidRPr="00D861A3" w:rsidR="009A6864" w:rsidP="0031533F" w:rsidRDefault="009A6864" w14:paraId="262337B6" w14:textId="6F04691E">
            <w:pPr>
              <w:suppressAutoHyphens/>
              <w:spacing w:line="288" w:lineRule="auto"/>
              <w:rPr>
                <w:rFonts w:ascii="Times New Roman" w:hAnsi="Times New Roman"/>
                <w:b/>
                <w:i/>
              </w:rPr>
            </w:pPr>
            <w:r w:rsidRPr="00D861A3">
              <w:rPr>
                <w:rFonts w:ascii="Times New Roman" w:hAnsi="Times New Roman"/>
                <w:b/>
                <w:i/>
              </w:rPr>
              <w:t xml:space="preserve">From the JPMorgan Chase &amp; Co. </w:t>
            </w:r>
            <w:r w:rsidRPr="00D861A3" w:rsidR="004855C7">
              <w:rPr>
                <w:rFonts w:ascii="Times New Roman" w:hAnsi="Times New Roman"/>
                <w:b/>
                <w:i/>
              </w:rPr>
              <w:t xml:space="preserve">13 </w:t>
            </w:r>
            <w:r w:rsidRPr="00D861A3">
              <w:rPr>
                <w:rFonts w:ascii="Times New Roman" w:hAnsi="Times New Roman"/>
                <w:b/>
                <w:i/>
              </w:rPr>
              <w:t>January 2026 Form 8-K*</w:t>
            </w:r>
          </w:p>
        </w:tc>
        <w:tc>
          <w:tcPr>
            <w:tcW w:w="1653" w:type="dxa"/>
          </w:tcPr>
          <w:p w:rsidRPr="00D861A3" w:rsidR="009A6864" w:rsidP="0031533F" w:rsidRDefault="009A6864" w14:paraId="301CF5CB" w14:textId="77777777">
            <w:pPr>
              <w:suppressAutoHyphens/>
              <w:spacing w:line="288" w:lineRule="auto"/>
              <w:rPr>
                <w:rFonts w:ascii="Times New Roman" w:hAnsi="Times New Roman"/>
                <w:b/>
              </w:rPr>
            </w:pPr>
          </w:p>
        </w:tc>
      </w:tr>
      <w:tr w:rsidRPr="00D861A3" w:rsidR="009A6864" w:rsidTr="0031533F" w14:paraId="097E343B" w14:textId="77777777">
        <w:tc>
          <w:tcPr>
            <w:tcW w:w="805" w:type="dxa"/>
            <w:hideMark/>
          </w:tcPr>
          <w:p w:rsidRPr="00D861A3" w:rsidR="009A6864" w:rsidP="0031533F" w:rsidRDefault="009A6864" w14:paraId="56F36E78" w14:textId="77777777">
            <w:pPr>
              <w:suppressAutoHyphens/>
              <w:spacing w:line="288" w:lineRule="auto"/>
              <w:rPr>
                <w:rFonts w:ascii="Times New Roman" w:hAnsi="Times New Roman"/>
              </w:rPr>
            </w:pPr>
            <w:r w:rsidRPr="00D861A3">
              <w:rPr>
                <w:rFonts w:ascii="Times New Roman" w:hAnsi="Times New Roman"/>
              </w:rPr>
              <w:t>Item 2.02</w:t>
            </w:r>
          </w:p>
        </w:tc>
        <w:tc>
          <w:tcPr>
            <w:tcW w:w="6047" w:type="dxa"/>
            <w:hideMark/>
          </w:tcPr>
          <w:p w:rsidRPr="00D861A3" w:rsidR="009A6864" w:rsidP="0031533F" w:rsidRDefault="009A6864" w14:paraId="53E1C5D0" w14:textId="77777777">
            <w:pPr>
              <w:suppressAutoHyphens/>
              <w:spacing w:line="288" w:lineRule="auto"/>
              <w:ind w:left="567"/>
              <w:rPr>
                <w:rFonts w:ascii="Times New Roman" w:hAnsi="Times New Roman"/>
              </w:rPr>
            </w:pPr>
            <w:r w:rsidRPr="00D861A3">
              <w:rPr>
                <w:rFonts w:ascii="Times New Roman" w:hAnsi="Times New Roman"/>
              </w:rPr>
              <w:t>Results of Operations and Financial Condition</w:t>
            </w:r>
          </w:p>
        </w:tc>
        <w:tc>
          <w:tcPr>
            <w:tcW w:w="1653" w:type="dxa"/>
            <w:hideMark/>
          </w:tcPr>
          <w:p w:rsidRPr="00D861A3" w:rsidR="009A6864" w:rsidP="0031533F" w:rsidRDefault="009A6864" w14:paraId="176E9CB3" w14:textId="77777777">
            <w:pPr>
              <w:suppressAutoHyphens/>
              <w:spacing w:line="288" w:lineRule="auto"/>
              <w:jc w:val="right"/>
              <w:rPr>
                <w:rFonts w:ascii="Times New Roman" w:hAnsi="Times New Roman"/>
              </w:rPr>
            </w:pPr>
            <w:r w:rsidRPr="00D861A3">
              <w:rPr>
                <w:rFonts w:ascii="Times New Roman" w:hAnsi="Times New Roman"/>
              </w:rPr>
              <w:t>Page 2</w:t>
            </w:r>
          </w:p>
        </w:tc>
      </w:tr>
      <w:tr w:rsidRPr="00D861A3" w:rsidR="009A6864" w:rsidTr="0031533F" w14:paraId="67C0CA80" w14:textId="77777777">
        <w:tc>
          <w:tcPr>
            <w:tcW w:w="805" w:type="dxa"/>
            <w:hideMark/>
          </w:tcPr>
          <w:p w:rsidRPr="00D861A3" w:rsidR="009A6864" w:rsidP="0031533F" w:rsidRDefault="009A6864" w14:paraId="49A66D8F" w14:textId="77777777">
            <w:pPr>
              <w:suppressAutoHyphens/>
              <w:spacing w:line="288" w:lineRule="auto"/>
              <w:rPr>
                <w:rFonts w:ascii="Times New Roman" w:hAnsi="Times New Roman"/>
              </w:rPr>
            </w:pPr>
            <w:r w:rsidRPr="00D861A3">
              <w:rPr>
                <w:rFonts w:ascii="Times New Roman" w:hAnsi="Times New Roman"/>
              </w:rPr>
              <w:t>Item 9.01</w:t>
            </w:r>
          </w:p>
        </w:tc>
        <w:tc>
          <w:tcPr>
            <w:tcW w:w="6047" w:type="dxa"/>
            <w:hideMark/>
          </w:tcPr>
          <w:p w:rsidRPr="00D861A3" w:rsidR="009A6864" w:rsidP="0031533F" w:rsidRDefault="009A6864" w14:paraId="10C5F4A6" w14:textId="77777777">
            <w:pPr>
              <w:suppressAutoHyphens/>
              <w:spacing w:line="288" w:lineRule="auto"/>
              <w:ind w:left="567"/>
              <w:rPr>
                <w:rFonts w:ascii="Times New Roman" w:hAnsi="Times New Roman"/>
              </w:rPr>
            </w:pPr>
            <w:r w:rsidRPr="00D861A3">
              <w:rPr>
                <w:rFonts w:ascii="Times New Roman" w:hAnsi="Times New Roman"/>
              </w:rPr>
              <w:t>Financial Statements and Exhibits</w:t>
            </w:r>
          </w:p>
        </w:tc>
        <w:tc>
          <w:tcPr>
            <w:tcW w:w="1653" w:type="dxa"/>
            <w:hideMark/>
          </w:tcPr>
          <w:p w:rsidRPr="00D861A3" w:rsidR="009A6864" w:rsidP="0031533F" w:rsidRDefault="009A6864" w14:paraId="154734C9" w14:textId="77777777">
            <w:pPr>
              <w:suppressAutoHyphens/>
              <w:spacing w:line="288" w:lineRule="auto"/>
              <w:jc w:val="right"/>
              <w:rPr>
                <w:rFonts w:ascii="Times New Roman" w:hAnsi="Times New Roman"/>
              </w:rPr>
            </w:pPr>
            <w:r w:rsidRPr="00D861A3">
              <w:rPr>
                <w:rFonts w:ascii="Times New Roman" w:hAnsi="Times New Roman"/>
              </w:rPr>
              <w:t>Page 2</w:t>
            </w:r>
          </w:p>
        </w:tc>
      </w:tr>
      <w:tr w:rsidRPr="00D861A3" w:rsidR="009A6864" w:rsidTr="0031533F" w14:paraId="3F3704E7" w14:textId="77777777">
        <w:tc>
          <w:tcPr>
            <w:tcW w:w="805" w:type="dxa"/>
            <w:hideMark/>
          </w:tcPr>
          <w:p w:rsidRPr="00D861A3" w:rsidR="009A6864" w:rsidP="0031533F" w:rsidRDefault="009A6864" w14:paraId="6A257547" w14:textId="77777777">
            <w:pPr>
              <w:suppressAutoHyphens/>
              <w:spacing w:line="288" w:lineRule="auto"/>
              <w:rPr>
                <w:rFonts w:ascii="Times New Roman" w:hAnsi="Times New Roman"/>
              </w:rPr>
            </w:pPr>
            <w:r w:rsidRPr="00D861A3">
              <w:rPr>
                <w:rFonts w:ascii="Times New Roman" w:hAnsi="Times New Roman"/>
              </w:rPr>
              <w:t>Exhibit 99.1</w:t>
            </w:r>
          </w:p>
        </w:tc>
        <w:tc>
          <w:tcPr>
            <w:tcW w:w="6047" w:type="dxa"/>
            <w:hideMark/>
          </w:tcPr>
          <w:p w:rsidRPr="00D861A3" w:rsidR="009A6864" w:rsidP="0031533F" w:rsidRDefault="009A6864" w14:paraId="3A110A65" w14:textId="1D988D70">
            <w:pPr>
              <w:suppressAutoHyphens/>
              <w:spacing w:line="288" w:lineRule="auto"/>
              <w:ind w:left="567"/>
              <w:rPr>
                <w:rFonts w:ascii="Times New Roman" w:hAnsi="Times New Roman"/>
              </w:rPr>
            </w:pPr>
            <w:r w:rsidRPr="00D861A3">
              <w:rPr>
                <w:rFonts w:ascii="Times New Roman" w:hAnsi="Times New Roman"/>
              </w:rPr>
              <w:t>JPMorgan Chase &amp; Co. Earnings Release – Fourth Quarter 202</w:t>
            </w:r>
            <w:r w:rsidRPr="00D861A3" w:rsidR="00133997">
              <w:rPr>
                <w:rFonts w:ascii="Times New Roman" w:hAnsi="Times New Roman"/>
              </w:rPr>
              <w:t>5</w:t>
            </w:r>
            <w:r w:rsidRPr="00D861A3">
              <w:rPr>
                <w:rFonts w:ascii="Times New Roman" w:hAnsi="Times New Roman"/>
              </w:rPr>
              <w:t xml:space="preserve"> Results</w:t>
            </w:r>
          </w:p>
        </w:tc>
        <w:tc>
          <w:tcPr>
            <w:tcW w:w="1653" w:type="dxa"/>
            <w:hideMark/>
          </w:tcPr>
          <w:p w:rsidRPr="00D861A3" w:rsidR="009A6864" w:rsidP="0031533F" w:rsidRDefault="009A6864" w14:paraId="3AC8AA38" w14:textId="77777777">
            <w:pPr>
              <w:suppressAutoHyphens/>
              <w:spacing w:line="288" w:lineRule="auto"/>
              <w:jc w:val="right"/>
              <w:rPr>
                <w:rFonts w:ascii="Times New Roman" w:hAnsi="Times New Roman"/>
              </w:rPr>
            </w:pPr>
            <w:r w:rsidRPr="00D861A3">
              <w:rPr>
                <w:rFonts w:ascii="Times New Roman" w:hAnsi="Times New Roman"/>
              </w:rPr>
              <w:t>Pages 4 to 11</w:t>
            </w:r>
          </w:p>
        </w:tc>
      </w:tr>
      <w:tr w:rsidRPr="00D861A3" w:rsidR="009A6864" w:rsidTr="0031533F" w14:paraId="04435E52" w14:textId="77777777">
        <w:tc>
          <w:tcPr>
            <w:tcW w:w="805" w:type="dxa"/>
            <w:hideMark/>
          </w:tcPr>
          <w:p w:rsidRPr="00D861A3" w:rsidR="009A6864" w:rsidP="0031533F" w:rsidRDefault="009A6864" w14:paraId="3CC3F499" w14:textId="77777777">
            <w:pPr>
              <w:suppressAutoHyphens/>
              <w:spacing w:line="288" w:lineRule="auto"/>
              <w:rPr>
                <w:rFonts w:ascii="Times New Roman" w:hAnsi="Times New Roman"/>
              </w:rPr>
            </w:pPr>
            <w:r w:rsidRPr="00D861A3">
              <w:rPr>
                <w:rFonts w:ascii="Times New Roman" w:hAnsi="Times New Roman"/>
              </w:rPr>
              <w:t>Exhibit 99.2</w:t>
            </w:r>
          </w:p>
        </w:tc>
        <w:tc>
          <w:tcPr>
            <w:tcW w:w="6047" w:type="dxa"/>
            <w:hideMark/>
          </w:tcPr>
          <w:p w:rsidRPr="00D861A3" w:rsidR="009A6864" w:rsidP="0031533F" w:rsidRDefault="009A6864" w14:paraId="448B73E3" w14:textId="6A81B93C">
            <w:pPr>
              <w:suppressAutoHyphens/>
              <w:spacing w:line="288" w:lineRule="auto"/>
              <w:ind w:left="567"/>
              <w:rPr>
                <w:rFonts w:ascii="Times New Roman" w:hAnsi="Times New Roman"/>
              </w:rPr>
            </w:pPr>
            <w:r w:rsidRPr="00D861A3">
              <w:rPr>
                <w:rFonts w:ascii="Times New Roman" w:hAnsi="Times New Roman"/>
              </w:rPr>
              <w:t>JPMorgan Chase &amp; Co. Earnings Release Financial Supplement – Fourth Quarter 202</w:t>
            </w:r>
            <w:r w:rsidRPr="00D861A3" w:rsidR="00133997">
              <w:rPr>
                <w:rFonts w:ascii="Times New Roman" w:hAnsi="Times New Roman"/>
              </w:rPr>
              <w:t>5</w:t>
            </w:r>
          </w:p>
        </w:tc>
        <w:tc>
          <w:tcPr>
            <w:tcW w:w="1653" w:type="dxa"/>
            <w:hideMark/>
          </w:tcPr>
          <w:p w:rsidRPr="00D861A3" w:rsidR="009A6864" w:rsidP="0031533F" w:rsidRDefault="009A6864" w14:paraId="34E9B14B" w14:textId="77777777">
            <w:pPr>
              <w:suppressAutoHyphens/>
              <w:spacing w:line="288" w:lineRule="auto"/>
              <w:jc w:val="right"/>
              <w:rPr>
                <w:rFonts w:ascii="Times New Roman" w:hAnsi="Times New Roman"/>
              </w:rPr>
            </w:pPr>
            <w:r w:rsidRPr="00D861A3">
              <w:rPr>
                <w:rFonts w:ascii="Times New Roman" w:hAnsi="Times New Roman"/>
              </w:rPr>
              <w:t>Pages 12 to 40</w:t>
            </w:r>
          </w:p>
        </w:tc>
      </w:tr>
      <w:tr w:rsidRPr="00D861A3" w:rsidR="009A6864" w:rsidTr="0031533F" w14:paraId="5EDE8691" w14:textId="77777777">
        <w:tc>
          <w:tcPr>
            <w:tcW w:w="8505" w:type="dxa"/>
            <w:gridSpan w:val="3"/>
            <w:hideMark/>
          </w:tcPr>
          <w:p w:rsidRPr="00D861A3" w:rsidR="009A6864" w:rsidP="0031533F" w:rsidRDefault="009A6864" w14:paraId="27861BA0" w14:textId="021E8B61">
            <w:pPr>
              <w:suppressAutoHyphens/>
              <w:spacing w:line="288" w:lineRule="auto"/>
              <w:rPr>
                <w:rFonts w:ascii="Times New Roman" w:hAnsi="Times New Roman"/>
                <w:sz w:val="16"/>
                <w:szCs w:val="16"/>
              </w:rPr>
            </w:pPr>
            <w:r w:rsidRPr="00D861A3">
              <w:rPr>
                <w:rFonts w:ascii="Times New Roman" w:hAnsi="Times New Roman"/>
                <w:sz w:val="16"/>
                <w:szCs w:val="16"/>
                <w:vertAlign w:val="superscript"/>
              </w:rPr>
              <w:t>*</w:t>
            </w:r>
            <w:r w:rsidRPr="00D861A3">
              <w:rPr>
                <w:rFonts w:ascii="Times New Roman" w:hAnsi="Times New Roman"/>
                <w:sz w:val="16"/>
                <w:szCs w:val="16"/>
              </w:rPr>
              <w:t xml:space="preserve"> The page numbers set out above are references to the PDF pages included in the JPMorgan Chase &amp; Co.</w:t>
            </w:r>
            <w:r w:rsidRPr="00D861A3">
              <w:rPr>
                <w:rFonts w:hint="eastAsia"/>
              </w:rPr>
              <w:t xml:space="preserve"> </w:t>
            </w:r>
            <w:r w:rsidRPr="00D861A3" w:rsidR="0048668A">
              <w:rPr>
                <w:rFonts w:ascii="Times New Roman" w:hAnsi="Times New Roman"/>
                <w:sz w:val="16"/>
                <w:szCs w:val="16"/>
              </w:rPr>
              <w:t>13</w:t>
            </w:r>
            <w:r w:rsidRPr="00D861A3">
              <w:rPr>
                <w:rFonts w:ascii="Times New Roman" w:hAnsi="Times New Roman"/>
                <w:sz w:val="16"/>
                <w:szCs w:val="16"/>
              </w:rPr>
              <w:t xml:space="preserve"> January 2026 Form 8-K.</w:t>
            </w:r>
          </w:p>
        </w:tc>
      </w:tr>
    </w:tbl>
    <w:p w:rsidRPr="00D861A3" w:rsidR="00D224C3" w:rsidP="009C2131" w:rsidRDefault="00D224C3" w14:paraId="7BC9A467" w14:textId="77777777">
      <w:pPr>
        <w:ind w:left="567"/>
        <w:rPr>
          <w:rFonts w:ascii="Times New Roman" w:hAnsi="Times New Roman"/>
          <w:sz w:val="20"/>
          <w:szCs w:val="20"/>
        </w:rPr>
      </w:pPr>
    </w:p>
    <w:p w:rsidRPr="00D861A3" w:rsidR="0041368F" w:rsidP="0041368F" w:rsidRDefault="0041368F" w14:paraId="2791FFA0" w14:textId="5BAE58AA">
      <w:pPr>
        <w:pStyle w:val="NormalOCAshurst"/>
        <w:rPr>
          <w:b/>
          <w:bCs/>
        </w:rPr>
      </w:pPr>
      <w:r w:rsidRPr="00D861A3">
        <w:rPr>
          <w:b/>
          <w:bCs/>
        </w:rPr>
        <w:t>II.</w:t>
      </w:r>
      <w:r w:rsidRPr="00D861A3">
        <w:rPr>
          <w:b/>
          <w:bCs/>
        </w:rPr>
        <w:tab/>
      </w:r>
      <w:bookmarkStart w:name="_Hlk219211171" w:id="5"/>
      <w:r w:rsidRPr="00D861A3">
        <w:rPr>
          <w:b/>
          <w:bCs/>
        </w:rPr>
        <w:t xml:space="preserve">Amendments to the Introduction to this Document </w:t>
      </w:r>
    </w:p>
    <w:p w:rsidRPr="00D861A3" w:rsidR="0041368F" w:rsidP="0041368F" w:rsidRDefault="0041368F" w14:paraId="27085BEB" w14:textId="3B2C484E">
      <w:pPr>
        <w:pStyle w:val="NormalOCAshurst"/>
        <w:ind w:left="567" w:firstLine="1"/>
      </w:pPr>
      <w:r w:rsidRPr="00D861A3">
        <w:t>The section entitled "Introduction to this Document" on pages ii to i</w:t>
      </w:r>
      <w:r w:rsidRPr="00D861A3" w:rsidR="00A03D1A">
        <w:t>v</w:t>
      </w:r>
      <w:r w:rsidRPr="00D861A3">
        <w:t xml:space="preserve"> of the Original </w:t>
      </w:r>
      <w:r w:rsidRPr="00D861A3" w:rsidR="001E220F">
        <w:rPr>
          <w:rFonts w:eastAsia="Microsoft JhengHei"/>
        </w:rPr>
        <w:t xml:space="preserve">Offering Circular </w:t>
      </w:r>
      <w:r w:rsidRPr="00D861A3">
        <w:t>shall be amended as set out in Schedule 1 to this Supplement.</w:t>
      </w:r>
    </w:p>
    <w:p w:rsidRPr="00D861A3" w:rsidR="00A03D1A" w:rsidP="00A03D1A" w:rsidRDefault="0041368F" w14:paraId="0D2474D5" w14:textId="03AE959D">
      <w:pPr>
        <w:pStyle w:val="NormalOCAshurst"/>
        <w:rPr>
          <w:b/>
          <w:bCs/>
        </w:rPr>
      </w:pPr>
      <w:r w:rsidRPr="00D861A3">
        <w:rPr>
          <w:b/>
          <w:bCs/>
        </w:rPr>
        <w:t>III.</w:t>
      </w:r>
      <w:r w:rsidRPr="00D861A3">
        <w:rPr>
          <w:b/>
          <w:bCs/>
        </w:rPr>
        <w:tab/>
      </w:r>
      <w:r w:rsidRPr="00D861A3" w:rsidR="00A03D1A">
        <w:rPr>
          <w:b/>
          <w:bCs/>
        </w:rPr>
        <w:t xml:space="preserve">Amendments to the Important Notices </w:t>
      </w:r>
    </w:p>
    <w:p w:rsidRPr="00D861A3" w:rsidR="00A03D1A" w:rsidP="00A03D1A" w:rsidRDefault="00A03D1A" w14:paraId="4AA2DA4F" w14:textId="0F50BEC5">
      <w:pPr>
        <w:pStyle w:val="NormalOCAshurst"/>
        <w:ind w:left="567" w:firstLine="1"/>
      </w:pPr>
      <w:r w:rsidRPr="00D861A3">
        <w:t xml:space="preserve">The section entitled "Important Notices" on pages 1 to 8 of the Original </w:t>
      </w:r>
      <w:r w:rsidRPr="00D861A3" w:rsidR="001E220F">
        <w:rPr>
          <w:rFonts w:eastAsia="Microsoft JhengHei"/>
        </w:rPr>
        <w:t xml:space="preserve">Offering Circular </w:t>
      </w:r>
      <w:r w:rsidRPr="00D861A3">
        <w:t>shall be amended as set out in Schedule 2 to this Supplement.</w:t>
      </w:r>
    </w:p>
    <w:p w:rsidRPr="00D861A3" w:rsidR="0041368F" w:rsidP="0041368F" w:rsidRDefault="00A03D1A" w14:paraId="76E266C9" w14:textId="702FF00D">
      <w:pPr>
        <w:pStyle w:val="NormalOCAshurst"/>
        <w:rPr>
          <w:b/>
          <w:bCs/>
        </w:rPr>
      </w:pPr>
      <w:r w:rsidRPr="00D861A3">
        <w:rPr>
          <w:b/>
          <w:bCs/>
        </w:rPr>
        <w:t>IV.</w:t>
      </w:r>
      <w:r w:rsidRPr="00D861A3">
        <w:rPr>
          <w:b/>
          <w:bCs/>
        </w:rPr>
        <w:tab/>
      </w:r>
      <w:r w:rsidRPr="00D861A3" w:rsidR="0041368F">
        <w:rPr>
          <w:b/>
          <w:bCs/>
        </w:rPr>
        <w:t>Amendments to the Summary of the Programme</w:t>
      </w:r>
    </w:p>
    <w:p w:rsidRPr="00D861A3" w:rsidR="0041368F" w:rsidP="0041368F" w:rsidRDefault="0041368F" w14:paraId="47945B1C" w14:textId="57B0BF85">
      <w:pPr>
        <w:pStyle w:val="NormalOCAshurst"/>
        <w:ind w:left="567" w:firstLine="1"/>
      </w:pPr>
      <w:r w:rsidRPr="00D861A3">
        <w:t xml:space="preserve">The section entitled "Summary of the Programme" on pages </w:t>
      </w:r>
      <w:r w:rsidR="00695F3F">
        <w:t>11</w:t>
      </w:r>
      <w:r w:rsidRPr="00D861A3">
        <w:t xml:space="preserve"> to </w:t>
      </w:r>
      <w:r w:rsidR="00695F3F">
        <w:t>31</w:t>
      </w:r>
      <w:r w:rsidRPr="00D861A3">
        <w:t xml:space="preserve"> of the Original </w:t>
      </w:r>
      <w:r w:rsidRPr="00D861A3" w:rsidR="001E220F">
        <w:rPr>
          <w:rFonts w:eastAsia="Microsoft JhengHei"/>
        </w:rPr>
        <w:t xml:space="preserve">Offering Circular </w:t>
      </w:r>
      <w:r w:rsidRPr="00D861A3">
        <w:t xml:space="preserve">shall be amended as set out in Schedule </w:t>
      </w:r>
      <w:r w:rsidRPr="00D861A3" w:rsidR="00A03D1A">
        <w:t>3</w:t>
      </w:r>
      <w:r w:rsidRPr="00D861A3">
        <w:t xml:space="preserve"> to this Supplement.</w:t>
      </w:r>
    </w:p>
    <w:p w:rsidRPr="00D861A3" w:rsidR="0041368F" w:rsidP="0041368F" w:rsidRDefault="0041368F" w14:paraId="016049AF" w14:textId="7A190B2B">
      <w:pPr>
        <w:pStyle w:val="NormalOCAshurst"/>
        <w:rPr>
          <w:b/>
          <w:bCs/>
        </w:rPr>
      </w:pPr>
      <w:r w:rsidRPr="00D861A3">
        <w:rPr>
          <w:b/>
          <w:bCs/>
        </w:rPr>
        <w:t>V.</w:t>
      </w:r>
      <w:r w:rsidRPr="00D861A3">
        <w:rPr>
          <w:b/>
          <w:bCs/>
        </w:rPr>
        <w:tab/>
        <w:t>Amendments to the User's Guide to the Offering Circular</w:t>
      </w:r>
    </w:p>
    <w:p w:rsidRPr="00D861A3" w:rsidR="0041368F" w:rsidP="0041368F" w:rsidRDefault="0041368F" w14:paraId="1C54EEF7" w14:textId="4D36030B">
      <w:pPr>
        <w:pStyle w:val="NormalOCAshurst"/>
        <w:ind w:left="567" w:firstLine="1"/>
      </w:pPr>
      <w:r w:rsidRPr="00D861A3">
        <w:t xml:space="preserve">The section entitled "User's Guide to the Offering Circular" on pages </w:t>
      </w:r>
      <w:r w:rsidRPr="00D861A3" w:rsidR="00A03D1A">
        <w:t>155</w:t>
      </w:r>
      <w:r w:rsidRPr="00D861A3">
        <w:t xml:space="preserve"> to </w:t>
      </w:r>
      <w:r w:rsidRPr="00D861A3" w:rsidR="00A03D1A">
        <w:t>159</w:t>
      </w:r>
      <w:r w:rsidRPr="00D861A3">
        <w:t xml:space="preserve"> of the Original </w:t>
      </w:r>
      <w:r w:rsidRPr="00D861A3" w:rsidR="001E220F">
        <w:rPr>
          <w:rFonts w:eastAsia="Microsoft JhengHei"/>
        </w:rPr>
        <w:t xml:space="preserve">Offering Circular </w:t>
      </w:r>
      <w:r w:rsidRPr="00D861A3">
        <w:t xml:space="preserve">shall be amended as set out in Schedule </w:t>
      </w:r>
      <w:r w:rsidRPr="00D861A3" w:rsidR="00A03D1A">
        <w:t>4</w:t>
      </w:r>
      <w:r w:rsidRPr="00D861A3">
        <w:t xml:space="preserve"> to this Supplement.</w:t>
      </w:r>
    </w:p>
    <w:p w:rsidRPr="00D861A3" w:rsidR="0041368F" w:rsidP="0041368F" w:rsidRDefault="0041368F" w14:paraId="06BB0218" w14:textId="4704BC66">
      <w:pPr>
        <w:pStyle w:val="NormalOCAshurst"/>
        <w:rPr>
          <w:b/>
          <w:bCs/>
        </w:rPr>
      </w:pPr>
      <w:r w:rsidRPr="00D861A3">
        <w:rPr>
          <w:b/>
          <w:bCs/>
        </w:rPr>
        <w:t>V</w:t>
      </w:r>
      <w:r w:rsidRPr="00D861A3" w:rsidR="00A03D1A">
        <w:rPr>
          <w:b/>
          <w:bCs/>
        </w:rPr>
        <w:t>I</w:t>
      </w:r>
      <w:r w:rsidRPr="00D861A3">
        <w:rPr>
          <w:b/>
          <w:bCs/>
        </w:rPr>
        <w:t>.</w:t>
      </w:r>
      <w:r w:rsidRPr="00D861A3">
        <w:rPr>
          <w:b/>
          <w:bCs/>
        </w:rPr>
        <w:tab/>
        <w:t xml:space="preserve">Amendments to the </w:t>
      </w:r>
      <w:r w:rsidRPr="00D861A3" w:rsidR="00C84358">
        <w:rPr>
          <w:b/>
          <w:bCs/>
        </w:rPr>
        <w:t>General Conditions</w:t>
      </w:r>
    </w:p>
    <w:p w:rsidRPr="00D861A3" w:rsidR="0041368F" w:rsidP="0041368F" w:rsidRDefault="0041368F" w14:paraId="0FAB1B25" w14:textId="4B6E21A6">
      <w:pPr>
        <w:pStyle w:val="NormalOCAshurst"/>
        <w:ind w:left="567" w:firstLine="1"/>
      </w:pPr>
      <w:r w:rsidRPr="00D861A3">
        <w:t>The section entitled "</w:t>
      </w:r>
      <w:r w:rsidRPr="00D861A3" w:rsidR="00C84358">
        <w:t>General Conditions</w:t>
      </w:r>
      <w:r w:rsidRPr="00D861A3">
        <w:t xml:space="preserve">" on pages </w:t>
      </w:r>
      <w:r w:rsidRPr="00D861A3" w:rsidR="00A03D1A">
        <w:t>232</w:t>
      </w:r>
      <w:r w:rsidRPr="00D861A3">
        <w:t xml:space="preserve"> to </w:t>
      </w:r>
      <w:r w:rsidRPr="00D861A3" w:rsidR="00054A8D">
        <w:t>387</w:t>
      </w:r>
      <w:r w:rsidRPr="00D861A3">
        <w:t xml:space="preserve"> of the Original </w:t>
      </w:r>
      <w:r w:rsidRPr="00D861A3" w:rsidR="001E220F">
        <w:rPr>
          <w:rFonts w:eastAsia="Microsoft JhengHei"/>
        </w:rPr>
        <w:t xml:space="preserve">Offering Circular </w:t>
      </w:r>
      <w:r w:rsidRPr="00D861A3">
        <w:t xml:space="preserve">shall be amended as set out in Schedule </w:t>
      </w:r>
      <w:r w:rsidRPr="00D861A3" w:rsidR="00A03D1A">
        <w:t>5</w:t>
      </w:r>
      <w:r w:rsidRPr="00D861A3">
        <w:t xml:space="preserve"> to this Supplement.</w:t>
      </w:r>
    </w:p>
    <w:p w:rsidRPr="00D861A3" w:rsidR="0041368F" w:rsidP="0041368F" w:rsidRDefault="0041368F" w14:paraId="323D2273" w14:textId="6501926E">
      <w:pPr>
        <w:pStyle w:val="NormalOCAshurst"/>
      </w:pPr>
      <w:r w:rsidRPr="00D861A3">
        <w:rPr>
          <w:b/>
          <w:bCs/>
        </w:rPr>
        <w:t>V</w:t>
      </w:r>
      <w:r w:rsidRPr="00D861A3" w:rsidR="00A03D1A">
        <w:rPr>
          <w:b/>
          <w:bCs/>
        </w:rPr>
        <w:t>I</w:t>
      </w:r>
      <w:r w:rsidRPr="00D861A3">
        <w:rPr>
          <w:b/>
          <w:bCs/>
        </w:rPr>
        <w:t>I.</w:t>
      </w:r>
      <w:r w:rsidRPr="00D861A3">
        <w:rPr>
          <w:b/>
          <w:bCs/>
        </w:rPr>
        <w:tab/>
        <w:t xml:space="preserve">Amendments to the </w:t>
      </w:r>
      <w:bookmarkStart w:name="_Hlk219289248" w:id="6"/>
      <w:r w:rsidRPr="00D861A3">
        <w:rPr>
          <w:b/>
          <w:bCs/>
        </w:rPr>
        <w:t>Form of Pricing Supplement</w:t>
      </w:r>
      <w:bookmarkEnd w:id="6"/>
    </w:p>
    <w:p w:rsidRPr="00D861A3" w:rsidR="0041368F" w:rsidP="0041368F" w:rsidRDefault="0041368F" w14:paraId="6E5F5E9B" w14:textId="5E5CFBEA">
      <w:pPr>
        <w:pStyle w:val="NormalOCAshurst"/>
        <w:ind w:left="567" w:firstLine="1"/>
      </w:pPr>
      <w:r w:rsidRPr="00D861A3">
        <w:t xml:space="preserve">The section entitled "Form of Pricing Supplement" on pages </w:t>
      </w:r>
      <w:r w:rsidRPr="00D861A3" w:rsidR="00A03D1A">
        <w:t>530</w:t>
      </w:r>
      <w:r w:rsidRPr="00D861A3">
        <w:t xml:space="preserve"> to </w:t>
      </w:r>
      <w:r w:rsidRPr="00D861A3" w:rsidR="00A03D1A">
        <w:t>595</w:t>
      </w:r>
      <w:r w:rsidRPr="00D861A3">
        <w:t xml:space="preserve"> of the Original </w:t>
      </w:r>
      <w:r w:rsidRPr="00D861A3" w:rsidR="001E220F">
        <w:rPr>
          <w:rFonts w:eastAsia="Microsoft JhengHei"/>
        </w:rPr>
        <w:t xml:space="preserve">Offering Circular </w:t>
      </w:r>
      <w:r w:rsidRPr="00D861A3">
        <w:t xml:space="preserve">shall be amended as set out in Schedule </w:t>
      </w:r>
      <w:r w:rsidRPr="00D861A3" w:rsidR="00A03D1A">
        <w:t>6</w:t>
      </w:r>
      <w:r w:rsidRPr="00D861A3">
        <w:t xml:space="preserve"> to this Supplement.</w:t>
      </w:r>
    </w:p>
    <w:p w:rsidRPr="00D861A3" w:rsidR="0041368F" w:rsidP="0041368F" w:rsidRDefault="0041368F" w14:paraId="5BBD4F6D" w14:textId="085B759C">
      <w:pPr>
        <w:pStyle w:val="NormalOCAshurst"/>
        <w:rPr>
          <w:b/>
          <w:bCs/>
        </w:rPr>
      </w:pPr>
      <w:r w:rsidRPr="00D861A3">
        <w:rPr>
          <w:b/>
          <w:bCs/>
        </w:rPr>
        <w:t>VII</w:t>
      </w:r>
      <w:r w:rsidRPr="00D861A3" w:rsidR="00A03D1A">
        <w:rPr>
          <w:b/>
          <w:bCs/>
        </w:rPr>
        <w:t>I</w:t>
      </w:r>
      <w:r w:rsidRPr="00D861A3">
        <w:rPr>
          <w:b/>
          <w:bCs/>
        </w:rPr>
        <w:t>.</w:t>
      </w:r>
      <w:r w:rsidRPr="00D861A3">
        <w:rPr>
          <w:b/>
          <w:bCs/>
        </w:rPr>
        <w:tab/>
        <w:t>Amendments to Subscription and Sale</w:t>
      </w:r>
    </w:p>
    <w:p w:rsidRPr="00D861A3" w:rsidR="0041368F" w:rsidP="0041368F" w:rsidRDefault="0041368F" w14:paraId="089CF0D4" w14:textId="0FBCB29D">
      <w:pPr>
        <w:pStyle w:val="NormalOCAshurst"/>
        <w:ind w:left="709" w:firstLine="1"/>
      </w:pPr>
      <w:r w:rsidRPr="00D861A3">
        <w:t xml:space="preserve">The section entitled "Subscription and Sale" on pages </w:t>
      </w:r>
      <w:r w:rsidRPr="00D861A3" w:rsidR="00A03D1A">
        <w:t>618</w:t>
      </w:r>
      <w:r w:rsidRPr="00D861A3">
        <w:t xml:space="preserve"> to </w:t>
      </w:r>
      <w:r w:rsidRPr="00D861A3" w:rsidR="00A03D1A">
        <w:t>65</w:t>
      </w:r>
      <w:r w:rsidRPr="00D861A3" w:rsidR="009A2CD5">
        <w:t>1</w:t>
      </w:r>
      <w:r w:rsidRPr="00D861A3">
        <w:t xml:space="preserve"> of the Original </w:t>
      </w:r>
      <w:r w:rsidRPr="00D861A3" w:rsidR="001E220F">
        <w:rPr>
          <w:rFonts w:eastAsia="Microsoft JhengHei"/>
        </w:rPr>
        <w:t xml:space="preserve">Offering Circular </w:t>
      </w:r>
      <w:r w:rsidRPr="00D861A3">
        <w:t xml:space="preserve">shall be amended as set out in Schedule </w:t>
      </w:r>
      <w:r w:rsidRPr="00D861A3" w:rsidR="00A03D1A">
        <w:t>7</w:t>
      </w:r>
      <w:r w:rsidRPr="00D861A3">
        <w:t xml:space="preserve"> to this Supplement.</w:t>
      </w:r>
    </w:p>
    <w:p w:rsidRPr="00D861A3" w:rsidR="0041368F" w:rsidP="0041368F" w:rsidRDefault="00A03D1A" w14:paraId="341810BF" w14:textId="28A5A0FF">
      <w:pPr>
        <w:pStyle w:val="NormalOCAshurst"/>
        <w:rPr>
          <w:b/>
          <w:bCs/>
        </w:rPr>
      </w:pPr>
      <w:r w:rsidRPr="00D861A3">
        <w:rPr>
          <w:b/>
          <w:bCs/>
        </w:rPr>
        <w:t>IX</w:t>
      </w:r>
      <w:r w:rsidRPr="00D861A3" w:rsidR="0041368F">
        <w:rPr>
          <w:b/>
          <w:bCs/>
        </w:rPr>
        <w:t>.</w:t>
      </w:r>
      <w:r w:rsidRPr="00D861A3" w:rsidR="0041368F">
        <w:rPr>
          <w:b/>
          <w:bCs/>
        </w:rPr>
        <w:tab/>
        <w:t xml:space="preserve">Amendments to </w:t>
      </w:r>
      <w:r w:rsidRPr="00D861A3" w:rsidR="00F315E4">
        <w:rPr>
          <w:b/>
          <w:bCs/>
        </w:rPr>
        <w:t xml:space="preserve">the </w:t>
      </w:r>
      <w:r w:rsidRPr="00D861A3" w:rsidR="0041368F">
        <w:rPr>
          <w:b/>
          <w:bCs/>
        </w:rPr>
        <w:t>Purchaser Representations and Requirements and Transfer Restrictions</w:t>
      </w:r>
    </w:p>
    <w:p w:rsidRPr="00D861A3" w:rsidR="0041368F" w:rsidP="0041368F" w:rsidRDefault="0041368F" w14:paraId="1A4734D9" w14:textId="7D45569A">
      <w:pPr>
        <w:pStyle w:val="NormalOCAshurst"/>
        <w:ind w:left="709" w:firstLine="1"/>
      </w:pPr>
      <w:r w:rsidRPr="00D861A3">
        <w:t xml:space="preserve">The section entitled "Purchaser Representations and Requirements and Transfer Restrictions" on pages </w:t>
      </w:r>
      <w:r w:rsidRPr="00D861A3" w:rsidR="00A03D1A">
        <w:t>652</w:t>
      </w:r>
      <w:r w:rsidRPr="00D861A3">
        <w:t xml:space="preserve"> to </w:t>
      </w:r>
      <w:r w:rsidRPr="00D861A3" w:rsidR="00A03D1A">
        <w:t>685</w:t>
      </w:r>
      <w:r w:rsidRPr="00D861A3">
        <w:t xml:space="preserve"> of the Original </w:t>
      </w:r>
      <w:r w:rsidRPr="00D861A3" w:rsidR="001E220F">
        <w:rPr>
          <w:rFonts w:eastAsia="Microsoft JhengHei"/>
        </w:rPr>
        <w:t xml:space="preserve">Offering Circular </w:t>
      </w:r>
      <w:r w:rsidRPr="00D861A3">
        <w:t xml:space="preserve">shall be amended as set out in Schedule </w:t>
      </w:r>
      <w:r w:rsidRPr="00D861A3" w:rsidR="00A03D1A">
        <w:t>8</w:t>
      </w:r>
      <w:r w:rsidRPr="00D861A3">
        <w:t xml:space="preserve"> to this Supplement.</w:t>
      </w:r>
    </w:p>
    <w:p w:rsidRPr="00D861A3" w:rsidR="0041368F" w:rsidP="0041368F" w:rsidRDefault="0041368F" w14:paraId="15702DAB" w14:textId="576DD070">
      <w:pPr>
        <w:pStyle w:val="NormalOCAshurst"/>
        <w:rPr>
          <w:b/>
          <w:bCs/>
        </w:rPr>
      </w:pPr>
      <w:r w:rsidRPr="00D861A3">
        <w:rPr>
          <w:b/>
          <w:bCs/>
        </w:rPr>
        <w:t>X.</w:t>
      </w:r>
      <w:r w:rsidRPr="00D861A3">
        <w:rPr>
          <w:b/>
          <w:bCs/>
        </w:rPr>
        <w:tab/>
        <w:t>Amendments to Important Legal Information</w:t>
      </w:r>
    </w:p>
    <w:p w:rsidRPr="00D861A3" w:rsidR="00FA15D3" w:rsidP="00054A8D" w:rsidRDefault="0041368F" w14:paraId="1B50B299" w14:textId="3B87E059">
      <w:pPr>
        <w:pStyle w:val="NormalOCAshurst"/>
        <w:ind w:left="709" w:firstLine="1"/>
        <w:rPr>
          <w:b/>
        </w:rPr>
      </w:pPr>
      <w:r w:rsidRPr="00D861A3">
        <w:t xml:space="preserve">The section entitled "Important Legal Information" on pages </w:t>
      </w:r>
      <w:r w:rsidRPr="00D861A3" w:rsidR="00A03D1A">
        <w:t>792</w:t>
      </w:r>
      <w:r w:rsidRPr="00D861A3">
        <w:t xml:space="preserve"> to </w:t>
      </w:r>
      <w:r w:rsidRPr="00D861A3" w:rsidR="00A03D1A">
        <w:t>798</w:t>
      </w:r>
      <w:r w:rsidRPr="00D861A3">
        <w:t xml:space="preserve"> of the Original </w:t>
      </w:r>
      <w:r w:rsidRPr="00D861A3" w:rsidR="001E220F">
        <w:rPr>
          <w:rFonts w:eastAsia="Microsoft JhengHei"/>
        </w:rPr>
        <w:t xml:space="preserve">Offering Circular </w:t>
      </w:r>
      <w:r w:rsidRPr="00D861A3">
        <w:t xml:space="preserve">shall be amended as set out in Schedule </w:t>
      </w:r>
      <w:r w:rsidRPr="00D861A3" w:rsidR="00A03D1A">
        <w:t>9</w:t>
      </w:r>
      <w:r w:rsidRPr="00D861A3">
        <w:t xml:space="preserve"> to this Supplement.</w:t>
      </w:r>
      <w:bookmarkEnd w:id="5"/>
    </w:p>
    <w:p w:rsidRPr="00D861A3" w:rsidR="009A6864" w:rsidP="001A450B" w:rsidRDefault="009A6864" w14:paraId="60F9AF67" w14:textId="77777777">
      <w:pPr>
        <w:pStyle w:val="NormalAshurst"/>
        <w:ind w:left="567"/>
        <w:rPr>
          <w:b/>
        </w:rPr>
        <w:sectPr w:rsidRPr="00D861A3" w:rsidR="009A6864" w:rsidSect="0076470E">
          <w:pgSz w:w="11907" w:h="16840" w:code="9"/>
          <w:pgMar w:top="1440" w:right="1440" w:bottom="1440" w:left="1440" w:header="720" w:footer="720" w:gutter="0"/>
          <w:cols w:space="720"/>
          <w:docGrid w:linePitch="245"/>
        </w:sectPr>
      </w:pPr>
    </w:p>
    <w:p w:rsidRPr="00D861A3" w:rsidR="00E330F5" w:rsidP="00BC417C" w:rsidRDefault="0090499F" w14:paraId="3DF7A23B" w14:textId="77777777">
      <w:pPr>
        <w:pStyle w:val="NormalOCAshurst"/>
        <w:rPr>
          <w:rFonts w:eastAsia="Microsoft JhengHei"/>
          <w:bCs/>
          <w:iCs/>
        </w:rPr>
      </w:pPr>
      <w:r w:rsidRPr="00D861A3">
        <w:rPr>
          <w:b/>
        </w:rPr>
        <w:t>General</w:t>
      </w:r>
    </w:p>
    <w:p w:rsidRPr="00D861A3" w:rsidR="009C2131" w:rsidP="009C2131" w:rsidRDefault="009C2131" w14:paraId="489E4A92" w14:textId="77777777">
      <w:pPr>
        <w:pStyle w:val="NormalAshurst"/>
        <w:spacing w:line="288" w:lineRule="auto"/>
        <w:rPr>
          <w:rFonts w:ascii="Times New Roman" w:hAnsi="Times New Roman"/>
          <w:sz w:val="20"/>
        </w:rPr>
      </w:pPr>
      <w:r w:rsidRPr="00D861A3">
        <w:rPr>
          <w:rFonts w:ascii="Times New Roman" w:hAnsi="Times New Roman"/>
          <w:sz w:val="20"/>
        </w:rPr>
        <w:t>To the extent that there is any inconsistency between (a) any statement in this Supplement or any statement incorporated by reference into the Offering Circular by this Supplement and (b) any other statement in or incorporated by reference into the Offering Circular, the statements in (a) above will prevail.</w:t>
      </w:r>
    </w:p>
    <w:p w:rsidRPr="00D861A3" w:rsidR="009C2131" w:rsidP="009C2131" w:rsidRDefault="009C2131" w14:paraId="7B9FA5DE" w14:textId="0458D350">
      <w:pPr>
        <w:pStyle w:val="NormalAshurst"/>
        <w:spacing w:line="288" w:lineRule="auto"/>
        <w:rPr>
          <w:rFonts w:ascii="Times New Roman" w:hAnsi="Times New Roman"/>
          <w:sz w:val="20"/>
        </w:rPr>
      </w:pPr>
      <w:r w:rsidRPr="00D861A3">
        <w:rPr>
          <w:rFonts w:ascii="Times New Roman" w:hAnsi="Times New Roman"/>
          <w:sz w:val="20"/>
        </w:rPr>
        <w:t>Investors who have not previously reviewed the information contained in the document incorporated by reference above should do so in connection with their evaluation of the Securities.</w:t>
      </w:r>
    </w:p>
    <w:p w:rsidRPr="00D861A3" w:rsidR="009C2131" w:rsidP="009C2131" w:rsidRDefault="009C2131" w14:paraId="36AB25E4" w14:textId="743AA59F">
      <w:pPr>
        <w:pStyle w:val="NormalAshurst"/>
        <w:spacing w:line="288" w:lineRule="auto"/>
        <w:rPr>
          <w:rFonts w:ascii="Times New Roman" w:hAnsi="Times New Roman" w:cs="Times New Roman"/>
          <w:sz w:val="20"/>
        </w:rPr>
      </w:pPr>
      <w:r w:rsidRPr="00D861A3">
        <w:rPr>
          <w:rFonts w:ascii="Times New Roman" w:hAnsi="Times New Roman" w:cs="Times New Roman"/>
          <w:sz w:val="20"/>
        </w:rPr>
        <w:t xml:space="preserve">This Supplement and the document incorporated by reference into it will be published on the Luxembourg Stock Exchange's website at </w:t>
      </w:r>
      <w:r w:rsidRPr="00D861A3">
        <w:rPr>
          <w:rFonts w:ascii="Times New Roman" w:hAnsi="Times New Roman" w:cs="Times New Roman"/>
          <w:i/>
          <w:iCs/>
          <w:sz w:val="20"/>
        </w:rPr>
        <w:t>www.luxse.com</w:t>
      </w:r>
      <w:r w:rsidRPr="00D861A3">
        <w:rPr>
          <w:rFonts w:ascii="Times New Roman" w:hAnsi="Times New Roman" w:cs="Times New Roman"/>
          <w:sz w:val="20"/>
        </w:rPr>
        <w:t>. In addition, any person receiving a copy of this Supplement may obtain, without charge, upon written or oral request, copies of the document incorporated by reference herein. Copies of the document incorporated by reference into this Supplement will be available free of charge during normal business hours on any weekday (Saturdays, Sundays and public holidays excepted), in physical or electronic form, at the office of the Principal Programme Agent  (The Bank of New York Mellon, London Branch, 160 Queen Victoria Street, London EC4V 4LA, United Kingdom), the office of the Paying Agent in Luxembourg (The Bank of New York Mellon S.A./N.V., Luxembourg Branch, Vertigo Building – Polaris, 2-4 rue Eugène Ruppert, L-2453 Luxembourg) and the office of the Irish Listing Agent (Matheson LLP, 70 Sir John Rogerson's Quay, Dublin 2, Ireland).</w:t>
      </w:r>
    </w:p>
    <w:p w:rsidRPr="00D861A3" w:rsidR="009C2131" w:rsidP="009C2131" w:rsidRDefault="009C2131" w14:paraId="5ED97990" w14:textId="08F0B5E8">
      <w:pPr>
        <w:pStyle w:val="NormalAshurst"/>
        <w:spacing w:line="288" w:lineRule="auto"/>
        <w:rPr>
          <w:rFonts w:ascii="Times New Roman" w:hAnsi="Times New Roman" w:cs="Times New Roman"/>
          <w:sz w:val="20"/>
        </w:rPr>
      </w:pPr>
      <w:r w:rsidRPr="00D861A3">
        <w:rPr>
          <w:rFonts w:ascii="Times New Roman" w:hAnsi="Times New Roman" w:cs="Times New Roman"/>
          <w:sz w:val="20"/>
        </w:rPr>
        <w:t>This Supplement and the document incorporated by reference into and contained in it will be available free of charge during normal business hours at the offices of UBS AG, attn. Documentation &amp; Issuance Services, VTPD 5, P.O. Box, 8070 Zürich, Switzerland.</w:t>
      </w:r>
    </w:p>
    <w:p w:rsidRPr="00D861A3" w:rsidR="009C2131" w:rsidP="009C2131" w:rsidRDefault="009C2131" w14:paraId="58196C11" w14:textId="157F438D">
      <w:pPr>
        <w:pStyle w:val="NormalAshurst"/>
        <w:spacing w:line="288" w:lineRule="auto"/>
        <w:rPr>
          <w:rFonts w:ascii="Times New Roman" w:hAnsi="Times New Roman"/>
          <w:sz w:val="20"/>
        </w:rPr>
      </w:pPr>
      <w:r w:rsidRPr="00D861A3">
        <w:rPr>
          <w:rFonts w:ascii="Times New Roman" w:hAnsi="Times New Roman"/>
          <w:sz w:val="20"/>
        </w:rPr>
        <w:t>By virtue of this Supplement, the document incorporated by reference and contained in this Supplement form a part of the Offering Circular.</w:t>
      </w:r>
    </w:p>
    <w:p w:rsidRPr="00D861A3" w:rsidR="004855C7" w:rsidRDefault="004855C7" w14:paraId="0E97A7B3" w14:textId="0B77B5D0">
      <w:pPr>
        <w:spacing w:line="240" w:lineRule="auto"/>
        <w:jc w:val="left"/>
        <w:rPr>
          <w:rFonts w:ascii="Times New Roman" w:hAnsi="Times New Roman" w:eastAsiaTheme="minorEastAsia" w:cstheme="minorBidi"/>
          <w:sz w:val="20"/>
          <w:szCs w:val="24"/>
          <w:lang w:eastAsia="zh-TW"/>
        </w:rPr>
      </w:pPr>
      <w:r w:rsidRPr="00D861A3">
        <w:rPr>
          <w:rFonts w:ascii="Times New Roman" w:hAnsi="Times New Roman" w:eastAsiaTheme="minorEastAsia" w:cstheme="minorBidi"/>
          <w:sz w:val="20"/>
          <w:szCs w:val="24"/>
          <w:lang w:eastAsia="zh-TW"/>
        </w:rPr>
        <w:br w:type="page"/>
      </w:r>
    </w:p>
    <w:p w:rsidRPr="00D861A3" w:rsidR="008B3AE5" w:rsidP="008B3AE5" w:rsidRDefault="008B3AE5" w14:paraId="51087132" w14:textId="77777777">
      <w:pPr>
        <w:pStyle w:val="NormalOCAshurst"/>
        <w:ind w:left="360"/>
        <w:jc w:val="center"/>
        <w:rPr>
          <w:b/>
          <w:bCs/>
        </w:rPr>
      </w:pPr>
      <w:r w:rsidRPr="00D861A3">
        <w:rPr>
          <w:b/>
          <w:bCs/>
        </w:rPr>
        <w:t>SCHEDULE 1</w:t>
      </w:r>
    </w:p>
    <w:p w:rsidRPr="00D861A3" w:rsidR="008B3AE5" w:rsidP="008B3AE5" w:rsidRDefault="008B3AE5" w14:paraId="4BEB7137" w14:textId="77777777">
      <w:pPr>
        <w:pStyle w:val="NormalOCAshurst"/>
        <w:ind w:left="360"/>
        <w:jc w:val="center"/>
        <w:rPr>
          <w:b/>
          <w:bCs/>
        </w:rPr>
      </w:pPr>
      <w:r w:rsidRPr="00D861A3">
        <w:rPr>
          <w:b/>
          <w:bCs/>
        </w:rPr>
        <w:t>INTRODUCTION TO THIS DOCUMENT</w:t>
      </w:r>
    </w:p>
    <w:p w:rsidRPr="00D861A3" w:rsidR="008B3AE5" w:rsidP="00DB215D" w:rsidRDefault="008B3AE5" w14:paraId="226333F5" w14:textId="77777777">
      <w:pPr>
        <w:pStyle w:val="NormalOCAshurst"/>
        <w:numPr>
          <w:ilvl w:val="0"/>
          <w:numId w:val="43"/>
        </w:numPr>
        <w:ind w:left="720"/>
        <w:rPr>
          <w:b/>
          <w:bCs/>
        </w:rPr>
      </w:pPr>
      <w:r w:rsidRPr="00D861A3">
        <w:rPr>
          <w:b/>
          <w:bCs/>
        </w:rPr>
        <w:t>Amendments to the sub-section entitled What is this document?</w:t>
      </w:r>
    </w:p>
    <w:p w:rsidRPr="00D861A3" w:rsidR="008B3AE5" w:rsidP="008B3AE5" w:rsidRDefault="008B3AE5" w14:paraId="52CD03D6" w14:textId="5B2919CE">
      <w:pPr>
        <w:pStyle w:val="NormalOCAshurst"/>
        <w:ind w:left="720"/>
      </w:pPr>
      <w:r w:rsidRPr="00D861A3">
        <w:t xml:space="preserve">The sub-section entitled "What is this document?" on page ii of the Original </w:t>
      </w:r>
      <w:r w:rsidRPr="00D861A3" w:rsidR="00016F5E">
        <w:rPr>
          <w:rFonts w:eastAsia="Microsoft JhengHei"/>
        </w:rPr>
        <w:t xml:space="preserve">Offering Circular </w:t>
      </w:r>
      <w:r w:rsidRPr="00D861A3">
        <w:t xml:space="preserve">shall be deleted in </w:t>
      </w:r>
      <w:r w:rsidRPr="00D861A3" w:rsidR="00C84358">
        <w:t>its</w:t>
      </w:r>
      <w:r w:rsidRPr="00D861A3">
        <w:t xml:space="preserve"> entirety and replaced with the following:</w:t>
      </w:r>
    </w:p>
    <w:p w:rsidRPr="00D861A3" w:rsidR="008B3AE5" w:rsidP="008B3AE5" w:rsidRDefault="008B3AE5" w14:paraId="1BAF9854" w14:textId="03E6FD11">
      <w:pPr>
        <w:pStyle w:val="NormalOCAshurst"/>
        <w:keepNext/>
        <w:ind w:left="720"/>
        <w:rPr>
          <w:b/>
          <w:bCs/>
        </w:rPr>
      </w:pPr>
      <w:r w:rsidRPr="00D861A3">
        <w:t>"</w:t>
      </w:r>
      <w:r w:rsidRPr="00D861A3">
        <w:rPr>
          <w:b/>
          <w:bCs/>
        </w:rPr>
        <w:t>What is this document?</w:t>
      </w:r>
    </w:p>
    <w:p w:rsidRPr="00D861A3" w:rsidR="008B3AE5" w:rsidP="008B3AE5" w:rsidRDefault="008B3AE5" w14:paraId="3A739D57" w14:textId="151FE3C2">
      <w:pPr>
        <w:pStyle w:val="NormalOCAshurst"/>
        <w:ind w:left="720"/>
      </w:pPr>
      <w:r w:rsidRPr="00D861A3">
        <w:t>This document (referred to as the "</w:t>
      </w:r>
      <w:r w:rsidRPr="00D861A3">
        <w:rPr>
          <w:b/>
          <w:bCs/>
        </w:rPr>
        <w:t>Offering Circular</w:t>
      </w:r>
      <w:r w:rsidRPr="00D861A3">
        <w:t>"), including the documents incorporated by reference within it, is intended to provide investors with information necessary to enable them to make an informed investment decision before purchasing Securities. It may be supplemented from time to time. It is not a "prospectus" for the purposes of the EU Prospectus Regulation, the UK Prospectus Regulation or rules of the Financial Conduct Authority (the "</w:t>
      </w:r>
      <w:r w:rsidRPr="00D861A3">
        <w:rPr>
          <w:b/>
          <w:bCs/>
        </w:rPr>
        <w:t>FCA</w:t>
      </w:r>
      <w:r w:rsidRPr="00D861A3">
        <w:t>") in its Prospectus Rules: Admission to Trading on a Regulated Market sourcebook ("</w:t>
      </w:r>
      <w:r w:rsidRPr="00D861A3">
        <w:rPr>
          <w:b/>
          <w:bCs/>
        </w:rPr>
        <w:t>PRM</w:t>
      </w:r>
      <w:r w:rsidRPr="00D861A3">
        <w:t>") made under the Public Offers and Admissions to Trading Regulations 2024 (the "</w:t>
      </w:r>
      <w:r w:rsidRPr="00D861A3">
        <w:rPr>
          <w:b/>
          <w:bCs/>
        </w:rPr>
        <w:t>POATRs</w:t>
      </w:r>
      <w:r w:rsidRPr="00D861A3">
        <w:t>") (see "</w:t>
      </w:r>
      <w:r w:rsidRPr="00D861A3">
        <w:rPr>
          <w:i/>
          <w:iCs/>
        </w:rPr>
        <w:t>Important Legal Information – Warning</w:t>
      </w:r>
      <w:r w:rsidRPr="00D861A3">
        <w:t>" below).</w:t>
      </w:r>
    </w:p>
    <w:p w:rsidRPr="00D861A3" w:rsidR="008B3AE5" w:rsidP="008B3AE5" w:rsidRDefault="008B3AE5" w14:paraId="0067EFBF" w14:textId="1009C53E">
      <w:pPr>
        <w:pStyle w:val="NormalOCAshurst"/>
        <w:ind w:left="720"/>
      </w:pPr>
      <w:r w:rsidRPr="00D861A3">
        <w:t>This Offering Circular is the successor to the Offering Circular dated 18 April 2024 relating to issues of non-equity securities under the Programme by J.P. Morgan Structured Products B.V., JPMorgan Chase Financial Company LLC, JPMorgan Chase Bank, N.A. and JPMorgan Chase &amp; Co. (the "</w:t>
      </w:r>
      <w:r w:rsidRPr="00D861A3">
        <w:rPr>
          <w:b/>
          <w:bCs/>
        </w:rPr>
        <w:t>2024 Offering Circular</w:t>
      </w:r>
      <w:r w:rsidRPr="00D861A3">
        <w:t>"). It succeeds the 2024 Offering Circular as soon as the 2024 Offering Circular becomes invalid on 17 April 2025."</w:t>
      </w:r>
    </w:p>
    <w:p w:rsidRPr="00D861A3" w:rsidR="008B3AE5" w:rsidRDefault="008B3AE5" w14:paraId="29CC6D85" w14:textId="229241C3">
      <w:pPr>
        <w:spacing w:line="240" w:lineRule="auto"/>
        <w:jc w:val="left"/>
        <w:rPr>
          <w:rFonts w:ascii="Times New Roman" w:hAnsi="Times New Roman"/>
          <w:sz w:val="20"/>
          <w:szCs w:val="20"/>
        </w:rPr>
      </w:pPr>
      <w:r w:rsidRPr="00D861A3">
        <w:br w:type="page"/>
      </w:r>
    </w:p>
    <w:p w:rsidRPr="00D861A3" w:rsidR="008B3AE5" w:rsidP="008B3AE5" w:rsidRDefault="008B3AE5" w14:paraId="4768C5CD" w14:textId="7D2F771F">
      <w:pPr>
        <w:pStyle w:val="NormalOCAshurst"/>
        <w:ind w:left="360"/>
        <w:jc w:val="center"/>
        <w:rPr>
          <w:b/>
          <w:bCs/>
        </w:rPr>
      </w:pPr>
      <w:r w:rsidRPr="00D861A3">
        <w:rPr>
          <w:b/>
          <w:bCs/>
        </w:rPr>
        <w:t>SCHEDULE 2</w:t>
      </w:r>
    </w:p>
    <w:p w:rsidRPr="00D861A3" w:rsidR="008B3AE5" w:rsidP="008B3AE5" w:rsidRDefault="008B3AE5" w14:paraId="550F4F79" w14:textId="16FCE9AB">
      <w:pPr>
        <w:pStyle w:val="NormalOCAshurst"/>
        <w:ind w:left="360"/>
        <w:jc w:val="center"/>
        <w:rPr>
          <w:b/>
          <w:bCs/>
        </w:rPr>
      </w:pPr>
      <w:r w:rsidRPr="00D861A3">
        <w:rPr>
          <w:b/>
          <w:bCs/>
        </w:rPr>
        <w:t>IMPORTANT NOTICES</w:t>
      </w:r>
    </w:p>
    <w:p w:rsidRPr="00D861A3" w:rsidR="008B3AE5" w:rsidP="00DB215D" w:rsidRDefault="008B3AE5" w14:paraId="053FCCAF" w14:textId="28D7FBC4">
      <w:pPr>
        <w:pStyle w:val="NormalOCAshurst"/>
        <w:numPr>
          <w:ilvl w:val="0"/>
          <w:numId w:val="56"/>
        </w:numPr>
        <w:rPr>
          <w:b/>
          <w:bCs/>
        </w:rPr>
      </w:pPr>
      <w:r w:rsidRPr="00D861A3">
        <w:rPr>
          <w:b/>
          <w:bCs/>
        </w:rPr>
        <w:t>Amendments to the Important Notices</w:t>
      </w:r>
    </w:p>
    <w:p w:rsidRPr="00D861A3" w:rsidR="008B3AE5" w:rsidP="008B3AE5" w:rsidRDefault="008B3AE5" w14:paraId="7B9C0E84" w14:textId="5C6DF5D2">
      <w:pPr>
        <w:pStyle w:val="NormalOCAshurst"/>
        <w:ind w:left="720"/>
      </w:pPr>
      <w:r w:rsidRPr="00D861A3">
        <w:t>The section entitled "</w:t>
      </w:r>
      <w:r w:rsidRPr="00D861A3">
        <w:rPr>
          <w:bCs/>
        </w:rPr>
        <w:t>Offering restrictions in the United Kingdom</w:t>
      </w:r>
      <w:r w:rsidRPr="00D861A3">
        <w:t xml:space="preserve">" on pages 1 to 2 of the Original </w:t>
      </w:r>
      <w:r w:rsidRPr="00D861A3" w:rsidR="00016F5E">
        <w:rPr>
          <w:rFonts w:eastAsia="Microsoft JhengHei"/>
        </w:rPr>
        <w:t xml:space="preserve">Offering Circular </w:t>
      </w:r>
      <w:r w:rsidRPr="00D861A3">
        <w:t xml:space="preserve">shall be deleted in </w:t>
      </w:r>
      <w:r w:rsidRPr="00D861A3" w:rsidR="00C84358">
        <w:t>its</w:t>
      </w:r>
      <w:r w:rsidRPr="00D861A3">
        <w:t xml:space="preserve"> entirety and replaced with the following:</w:t>
      </w:r>
    </w:p>
    <w:p w:rsidRPr="00D861A3" w:rsidR="008B3AE5" w:rsidP="008B3AE5" w:rsidRDefault="008B3AE5" w14:paraId="0DB63A51" w14:textId="6C1F474C">
      <w:pPr>
        <w:pStyle w:val="NormalOCAshurst"/>
        <w:ind w:left="720"/>
        <w:rPr>
          <w:rFonts w:eastAsia="Microsoft JhengHei"/>
          <w:b/>
          <w:bCs/>
        </w:rPr>
      </w:pPr>
      <w:r w:rsidRPr="00D861A3">
        <w:rPr>
          <w:bCs/>
        </w:rPr>
        <w:t>"</w:t>
      </w:r>
      <w:r w:rsidRPr="00D861A3">
        <w:rPr>
          <w:rFonts w:eastAsia="Microsoft JhengHei"/>
          <w:b/>
          <w:bCs/>
        </w:rPr>
        <w:t>Offering restrictions in the United Kingdom</w:t>
      </w:r>
    </w:p>
    <w:p w:rsidRPr="00D861A3" w:rsidR="008B3AE5" w:rsidP="008B3AE5" w:rsidRDefault="008B3AE5" w14:paraId="22E7DE30" w14:textId="77777777">
      <w:pPr>
        <w:suppressAutoHyphens/>
        <w:spacing w:after="200" w:line="240" w:lineRule="auto"/>
        <w:ind w:left="720"/>
        <w:rPr>
          <w:rFonts w:ascii="Times New Roman" w:hAnsi="Times New Roman" w:eastAsia="Microsoft JhengHei"/>
          <w:b/>
          <w:bCs/>
          <w:sz w:val="20"/>
          <w:szCs w:val="20"/>
        </w:rPr>
      </w:pPr>
      <w:r w:rsidRPr="00D861A3">
        <w:rPr>
          <w:rFonts w:ascii="Times New Roman" w:hAnsi="Times New Roman" w:eastAsia="Microsoft JhengHei"/>
          <w:b/>
          <w:bCs/>
          <w:sz w:val="20"/>
          <w:szCs w:val="20"/>
        </w:rPr>
        <w:t>This Offering Circular has been prepared on the basis that any offer of Securities in the United Kingdom will be one or more of the kinds of offer specified in Part 1 of Schedule 1 to the Public Offers and Admissions to Trading Regulations 2024 (the "POATRs"). Accordingly, any person making or intending to make an offer in the United Kingdom of Securities which are the subject of an offering contemplated in this Offering Circular as completed by a Pricing Supplement in relation to the offer of those Securities may only do so where the offer is one or more of the kinds of offer specified in Part 1 of Schedule 1 to the POATRs.</w:t>
      </w:r>
    </w:p>
    <w:p w:rsidRPr="00D861A3" w:rsidR="008B3AE5" w:rsidP="008B3AE5" w:rsidRDefault="008B3AE5" w14:paraId="3443AA16" w14:textId="77777777">
      <w:pPr>
        <w:suppressAutoHyphens/>
        <w:spacing w:after="200" w:line="240" w:lineRule="auto"/>
        <w:ind w:left="720"/>
        <w:rPr>
          <w:rFonts w:ascii="Times New Roman" w:hAnsi="Times New Roman" w:eastAsia="Microsoft JhengHei"/>
          <w:b/>
          <w:bCs/>
          <w:sz w:val="20"/>
          <w:szCs w:val="20"/>
        </w:rPr>
      </w:pPr>
      <w:r w:rsidRPr="00D861A3">
        <w:rPr>
          <w:rFonts w:ascii="Times New Roman" w:hAnsi="Times New Roman" w:eastAsia="Microsoft JhengHei"/>
          <w:b/>
          <w:bCs/>
          <w:sz w:val="20"/>
          <w:szCs w:val="20"/>
        </w:rPr>
        <w:t>None of the Issuers, Guarantors or Dealers has authorised, nor do they authorise, the making of any offer of Securities in circumstances in which an obligation arises for the Issuer to publish a prospectus in the EEA, the United Kingdom or in any other jurisdiction.</w:t>
      </w:r>
    </w:p>
    <w:p w:rsidRPr="00D861A3" w:rsidR="008B3AE5" w:rsidP="008B3AE5" w:rsidRDefault="008B3AE5" w14:paraId="22E0CEE2" w14:textId="5EAC38BE">
      <w:pPr>
        <w:suppressAutoHyphens/>
        <w:spacing w:after="200" w:line="240" w:lineRule="auto"/>
        <w:ind w:left="720"/>
        <w:rPr>
          <w:rFonts w:ascii="Times New Roman" w:hAnsi="Times New Roman" w:eastAsia="Microsoft JhengHei"/>
          <w:b/>
          <w:bCs/>
          <w:sz w:val="20"/>
          <w:szCs w:val="20"/>
        </w:rPr>
      </w:pPr>
      <w:r w:rsidRPr="00D861A3">
        <w:rPr>
          <w:rFonts w:ascii="Times New Roman" w:hAnsi="Times New Roman" w:eastAsia="Microsoft JhengHei"/>
          <w:b/>
          <w:bCs/>
          <w:sz w:val="20"/>
          <w:szCs w:val="20"/>
        </w:rPr>
        <w:t>If the Pricing Supplement in respect of any Securities includes a legend entitled "Prohibition of Sales to EEA Retail Investors", the Securities are not intended to be offered, sold or otherwise made available to and should not be offered, sold or otherwise made available to any retail investor in the EEA. For these purposes, a retail investor means a person who is one (or more) of: (i) a retail client as defined in point (11) of Article 4(1) of Directive 2014/65/EU (as amended, "MiFID II"); (ii) a customer within the meaning of Directive 2016/97/EU (as amended, the "Insurance Distribution Directive"), where that customer would not qualify as a professional client as defined in point (10) of Article 4(1) of MiFID II; or (iii) not a qualified investor as defined in the EU Prospectus Regulation. Consequently, no key information document required by Regulation (EU) No 1286/2014 (as amended, the "EU PRIIPs Regulation") for offering or selling the Securities or otherwise making them available to retail investors in the EEA has been prepared and therefore offering or selling the Securities or otherwise making them available to any retail investor in the EEA may be unlawful under the EU PRIIPs Regulation.</w:t>
      </w:r>
    </w:p>
    <w:p w:rsidRPr="00D861A3" w:rsidR="008B3AE5" w:rsidP="008B3AE5" w:rsidRDefault="008B3AE5" w14:paraId="256D731E" w14:textId="77777777">
      <w:pPr>
        <w:suppressAutoHyphens/>
        <w:spacing w:after="200" w:line="240" w:lineRule="auto"/>
        <w:ind w:left="720"/>
        <w:rPr>
          <w:rFonts w:ascii="Times New Roman" w:hAnsi="Times New Roman" w:eastAsia="Microsoft JhengHei"/>
          <w:sz w:val="20"/>
          <w:szCs w:val="20"/>
        </w:rPr>
      </w:pPr>
      <w:r w:rsidRPr="00D861A3">
        <w:rPr>
          <w:rFonts w:ascii="Times New Roman" w:hAnsi="Times New Roman" w:eastAsia="Microsoft JhengHei"/>
          <w:sz w:val="20"/>
          <w:szCs w:val="20"/>
        </w:rPr>
        <w:t>Notwithstanding the above paragraph, in the case where the Pricing Supplement in respect of any Securities does not specify "Prohibition of Sales to EEA Retail Investors" to be not applicable but where the Dealer subsequently prepares and publishes a key information document under the EU PRIIPs Regulation in respect of such Securities, then following such publication, the prohibition on the offering, sale or otherwise making available the Securities to a retail investor in the EEA as described in the above paragraph and in such legend shall no longer apply.</w:t>
      </w:r>
    </w:p>
    <w:p w:rsidRPr="00D861A3" w:rsidR="008B3AE5" w:rsidP="008B3AE5" w:rsidRDefault="008B3AE5" w14:paraId="72E61685" w14:textId="77777777">
      <w:pPr>
        <w:suppressAutoHyphens/>
        <w:spacing w:after="200" w:line="240" w:lineRule="auto"/>
        <w:ind w:left="720"/>
        <w:rPr>
          <w:rFonts w:ascii="Times New Roman" w:hAnsi="Times New Roman" w:eastAsia="Microsoft JhengHei"/>
          <w:b/>
          <w:bCs/>
          <w:sz w:val="20"/>
          <w:szCs w:val="20"/>
        </w:rPr>
      </w:pPr>
      <w:r w:rsidRPr="00D861A3">
        <w:rPr>
          <w:rFonts w:ascii="Times New Roman" w:hAnsi="Times New Roman" w:eastAsia="Microsoft JhengHei"/>
          <w:b/>
          <w:bCs/>
          <w:sz w:val="20"/>
          <w:szCs w:val="20"/>
        </w:rPr>
        <w:t>If the Pricing Supplement in respect of any Securities includes a legend entitled "Prohibition of Sales to UK Retail Investors", the Securities are not intended to be offered, sold, distributed or otherwise made available to and should not be offered, sold, distributed or otherwise made available to any retail investor in the United Kingdom. For these purposes, a retail investor means:</w:t>
      </w:r>
    </w:p>
    <w:p w:rsidRPr="00D861A3" w:rsidR="008B3AE5" w:rsidP="00DB215D" w:rsidRDefault="008B3AE5" w14:paraId="7FFAD73C" w14:textId="77777777">
      <w:pPr>
        <w:numPr>
          <w:ilvl w:val="2"/>
          <w:numId w:val="44"/>
        </w:numPr>
        <w:tabs>
          <w:tab w:val="clear" w:pos="709"/>
          <w:tab w:val="num" w:pos="1429"/>
        </w:tabs>
        <w:suppressAutoHyphens/>
        <w:spacing w:after="200" w:line="240" w:lineRule="auto"/>
        <w:ind w:left="1429"/>
        <w:jc w:val="left"/>
        <w:outlineLvl w:val="2"/>
        <w:rPr>
          <w:rFonts w:ascii="Times New Roman" w:hAnsi="Times New Roman" w:eastAsia="Microsoft JhengHei"/>
          <w:b/>
          <w:bCs/>
          <w:sz w:val="20"/>
          <w:szCs w:val="20"/>
        </w:rPr>
      </w:pPr>
      <w:r w:rsidRPr="00D861A3">
        <w:rPr>
          <w:rFonts w:ascii="Times New Roman" w:hAnsi="Times New Roman" w:eastAsia="Microsoft JhengHei"/>
          <w:b/>
          <w:bCs/>
          <w:sz w:val="20"/>
          <w:szCs w:val="20"/>
        </w:rPr>
        <w:t>a person who is neither:</w:t>
      </w:r>
    </w:p>
    <w:p w:rsidRPr="00D861A3" w:rsidR="008B3AE5" w:rsidP="00DB215D" w:rsidRDefault="008B3AE5" w14:paraId="552020CA" w14:textId="77777777">
      <w:pPr>
        <w:numPr>
          <w:ilvl w:val="3"/>
          <w:numId w:val="44"/>
        </w:numPr>
        <w:tabs>
          <w:tab w:val="clear" w:pos="1276"/>
          <w:tab w:val="num" w:pos="1996"/>
        </w:tabs>
        <w:suppressAutoHyphens/>
        <w:spacing w:after="200" w:line="240" w:lineRule="auto"/>
        <w:ind w:left="1996"/>
        <w:jc w:val="left"/>
        <w:outlineLvl w:val="3"/>
        <w:rPr>
          <w:rFonts w:ascii="Times New Roman" w:hAnsi="Times New Roman" w:eastAsia="Microsoft JhengHei"/>
          <w:b/>
          <w:bCs/>
          <w:sz w:val="20"/>
          <w:szCs w:val="20"/>
        </w:rPr>
      </w:pPr>
      <w:r w:rsidRPr="00D861A3">
        <w:rPr>
          <w:rFonts w:ascii="Times New Roman" w:hAnsi="Times New Roman" w:eastAsia="Microsoft JhengHei"/>
          <w:b/>
          <w:bCs/>
          <w:sz w:val="20"/>
          <w:szCs w:val="20"/>
        </w:rPr>
        <w:t>a professional client, as defined in point (8) of Article 2(1) of Regulation (EU) No 600/2014 as it forms part of UK domestic law by virtue of the European Union (Withdrawal) Act 2018 (as amended, the "EUWA"); nor</w:t>
      </w:r>
    </w:p>
    <w:p w:rsidRPr="00D861A3" w:rsidR="008B3AE5" w:rsidP="00DB215D" w:rsidRDefault="008B3AE5" w14:paraId="4C96D94C" w14:textId="77777777">
      <w:pPr>
        <w:numPr>
          <w:ilvl w:val="3"/>
          <w:numId w:val="44"/>
        </w:numPr>
        <w:tabs>
          <w:tab w:val="clear" w:pos="1276"/>
          <w:tab w:val="num" w:pos="1996"/>
        </w:tabs>
        <w:suppressAutoHyphens/>
        <w:spacing w:after="200" w:line="240" w:lineRule="auto"/>
        <w:ind w:left="1996"/>
        <w:jc w:val="left"/>
        <w:outlineLvl w:val="3"/>
        <w:rPr>
          <w:rFonts w:ascii="Times New Roman" w:hAnsi="Times New Roman" w:eastAsia="Microsoft JhengHei"/>
          <w:b/>
          <w:bCs/>
          <w:sz w:val="20"/>
          <w:szCs w:val="20"/>
        </w:rPr>
      </w:pPr>
      <w:r w:rsidRPr="00D861A3">
        <w:rPr>
          <w:rFonts w:ascii="Times New Roman" w:hAnsi="Times New Roman" w:eastAsia="Microsoft JhengHei"/>
          <w:b/>
          <w:bCs/>
          <w:sz w:val="20"/>
          <w:szCs w:val="20"/>
        </w:rPr>
        <w:t>a qualified investor as defined in paragraph 15 of Schedule 1 to the POATRs; or</w:t>
      </w:r>
    </w:p>
    <w:p w:rsidRPr="00D861A3" w:rsidR="008B3AE5" w:rsidP="00DB215D" w:rsidRDefault="008B3AE5" w14:paraId="521B125F" w14:textId="77777777">
      <w:pPr>
        <w:numPr>
          <w:ilvl w:val="2"/>
          <w:numId w:val="44"/>
        </w:numPr>
        <w:tabs>
          <w:tab w:val="clear" w:pos="709"/>
          <w:tab w:val="num" w:pos="1429"/>
        </w:tabs>
        <w:suppressAutoHyphens/>
        <w:spacing w:after="200" w:line="240" w:lineRule="auto"/>
        <w:ind w:left="1429"/>
        <w:jc w:val="left"/>
        <w:outlineLvl w:val="2"/>
        <w:rPr>
          <w:rFonts w:ascii="Times New Roman" w:hAnsi="Times New Roman" w:eastAsia="Microsoft JhengHei"/>
          <w:b/>
          <w:bCs/>
          <w:sz w:val="20"/>
          <w:szCs w:val="20"/>
        </w:rPr>
      </w:pPr>
      <w:r w:rsidRPr="00D861A3">
        <w:rPr>
          <w:rFonts w:ascii="Times New Roman" w:hAnsi="Times New Roman" w:eastAsia="Microsoft JhengHei"/>
          <w:b/>
          <w:bCs/>
          <w:sz w:val="20"/>
          <w:szCs w:val="20"/>
        </w:rPr>
        <w:t>in the case of any Securities being offered, sold, distributed or otherwise made available on or after the day on which the revocation of Regulation (EU) No 1286/2014 as it forms part of UK domestic law by virtue of the EUWA (as amended, the "UK PRIIPs Regulation") comes into force, a person who is either (or both) of the following:</w:t>
      </w:r>
    </w:p>
    <w:p w:rsidRPr="00D861A3" w:rsidR="008B3AE5" w:rsidP="00DB215D" w:rsidRDefault="008B3AE5" w14:paraId="739CB793" w14:textId="77777777">
      <w:pPr>
        <w:numPr>
          <w:ilvl w:val="3"/>
          <w:numId w:val="44"/>
        </w:numPr>
        <w:tabs>
          <w:tab w:val="clear" w:pos="1276"/>
          <w:tab w:val="num" w:pos="1996"/>
        </w:tabs>
        <w:suppressAutoHyphens/>
        <w:spacing w:after="200" w:line="240" w:lineRule="auto"/>
        <w:ind w:left="1996"/>
        <w:jc w:val="left"/>
        <w:outlineLvl w:val="3"/>
        <w:rPr>
          <w:rFonts w:ascii="Times New Roman" w:hAnsi="Times New Roman" w:eastAsia="Microsoft JhengHei"/>
          <w:b/>
          <w:bCs/>
          <w:sz w:val="20"/>
          <w:szCs w:val="20"/>
        </w:rPr>
      </w:pPr>
      <w:r w:rsidRPr="00D861A3">
        <w:rPr>
          <w:rFonts w:ascii="Times New Roman" w:hAnsi="Times New Roman" w:eastAsia="Microsoft JhengHei"/>
          <w:b/>
          <w:bCs/>
          <w:sz w:val="20"/>
          <w:szCs w:val="20"/>
        </w:rPr>
        <w:t>a retail investor as defined in the product disclosure rules  made by the Financial Conduct Authority ("FCA") under the Consumer Composite Investments (Designated Activities) Regulations 2024 (the "CCI Regulations"); or</w:t>
      </w:r>
    </w:p>
    <w:p w:rsidRPr="00D861A3" w:rsidR="008B3AE5" w:rsidP="00DB215D" w:rsidRDefault="008B3AE5" w14:paraId="5E3B8646" w14:textId="77777777">
      <w:pPr>
        <w:numPr>
          <w:ilvl w:val="3"/>
          <w:numId w:val="44"/>
        </w:numPr>
        <w:tabs>
          <w:tab w:val="clear" w:pos="1276"/>
          <w:tab w:val="num" w:pos="1996"/>
        </w:tabs>
        <w:suppressAutoHyphens/>
        <w:spacing w:after="200" w:line="240" w:lineRule="auto"/>
        <w:ind w:left="1996"/>
        <w:jc w:val="left"/>
        <w:outlineLvl w:val="3"/>
        <w:rPr>
          <w:rFonts w:ascii="Times New Roman" w:hAnsi="Times New Roman" w:eastAsia="Microsoft JhengHei"/>
          <w:b/>
          <w:bCs/>
          <w:sz w:val="20"/>
          <w:szCs w:val="20"/>
        </w:rPr>
      </w:pPr>
      <w:r w:rsidRPr="00D861A3">
        <w:rPr>
          <w:rFonts w:ascii="Times New Roman" w:hAnsi="Times New Roman" w:eastAsia="Microsoft JhengHei"/>
          <w:b/>
          <w:bCs/>
          <w:sz w:val="20"/>
          <w:szCs w:val="20"/>
        </w:rPr>
        <w:t>not a qualified investor as defined in paragraph 15 of Schedule 1 to the POATRs.</w:t>
      </w:r>
    </w:p>
    <w:p w:rsidRPr="00D861A3" w:rsidR="008B3AE5" w:rsidP="008B3AE5" w:rsidRDefault="008B3AE5" w14:paraId="2C9B1FA5" w14:textId="77777777">
      <w:pPr>
        <w:suppressAutoHyphens/>
        <w:spacing w:after="200" w:line="240" w:lineRule="auto"/>
        <w:ind w:left="720"/>
        <w:rPr>
          <w:rFonts w:ascii="Times New Roman" w:hAnsi="Times New Roman" w:eastAsia="Microsoft JhengHei"/>
          <w:b/>
          <w:bCs/>
          <w:sz w:val="20"/>
          <w:szCs w:val="20"/>
        </w:rPr>
      </w:pPr>
      <w:r w:rsidRPr="00D861A3">
        <w:rPr>
          <w:rFonts w:ascii="Times New Roman" w:hAnsi="Times New Roman" w:eastAsia="Microsoft JhengHei"/>
          <w:b/>
          <w:bCs/>
          <w:sz w:val="20"/>
          <w:szCs w:val="20"/>
        </w:rPr>
        <w:t>Consequently, no key information document required by the UK PRIIPs Regulation or product summary as required by the product disclosure rules made by the FCA under the CCI Regulations, for offering, selling or distributing the Securities or otherwise making them available to retail investors in the United Kingdom has been prepared and therefore offering, selling or distributing the Securities or otherwise making them available to any retail investor in the United Kingdom may be unlawful under the UK PRIIPs Regulation or the product disclosure rules made by the FCA under the CCI Regulations.</w:t>
      </w:r>
    </w:p>
    <w:p w:rsidRPr="00D861A3" w:rsidR="008B3AE5" w:rsidP="008B3AE5" w:rsidRDefault="008B3AE5" w14:paraId="5E90D9BC" w14:textId="5001A84B">
      <w:pPr>
        <w:suppressAutoHyphens/>
        <w:spacing w:after="200" w:line="240" w:lineRule="auto"/>
        <w:ind w:left="720"/>
        <w:rPr>
          <w:rFonts w:ascii="Times New Roman" w:hAnsi="Times New Roman" w:eastAsia="Microsoft JhengHei"/>
          <w:sz w:val="20"/>
          <w:szCs w:val="20"/>
        </w:rPr>
      </w:pPr>
      <w:r w:rsidRPr="00D861A3">
        <w:rPr>
          <w:rFonts w:ascii="Times New Roman" w:hAnsi="Times New Roman" w:eastAsia="Microsoft JhengHei"/>
          <w:sz w:val="20"/>
          <w:szCs w:val="20"/>
        </w:rPr>
        <w:t>Notwithstanding the above paragraph, in the case where the Pricing Supplement in respect of any Securities does not specify "Prohibition of Sales to UK Retail Investors" to be not applicable but where the Dealer subsequently prepares and publishes either a key information document under the UK PRIIPs Regulation or a product summary as required by the product disclosure rules made by the FCA under the CCI Regulations in respect of such Securities, then following such publication, the prohibition on the offering, sale, distribution or otherwise making available the Securities to a retail investor in the United Kingdom as described in the above paragraph and in such legend shall no longer apply."</w:t>
      </w:r>
    </w:p>
    <w:p w:rsidRPr="00D861A3" w:rsidR="007356D3" w:rsidRDefault="007356D3" w14:paraId="0A869361" w14:textId="78253319">
      <w:pPr>
        <w:spacing w:line="240" w:lineRule="auto"/>
        <w:jc w:val="left"/>
        <w:rPr>
          <w:rFonts w:ascii="Times New Roman" w:hAnsi="Times New Roman" w:eastAsiaTheme="minorEastAsia" w:cstheme="minorBidi"/>
          <w:sz w:val="20"/>
          <w:szCs w:val="24"/>
          <w:lang w:eastAsia="zh-TW"/>
        </w:rPr>
      </w:pPr>
      <w:r w:rsidRPr="00D861A3">
        <w:rPr>
          <w:rFonts w:ascii="Times New Roman" w:hAnsi="Times New Roman" w:eastAsiaTheme="minorEastAsia" w:cstheme="minorBidi"/>
          <w:sz w:val="20"/>
          <w:szCs w:val="24"/>
          <w:lang w:eastAsia="zh-TW"/>
        </w:rPr>
        <w:br w:type="page"/>
      </w:r>
    </w:p>
    <w:p w:rsidRPr="00D861A3" w:rsidR="007356D3" w:rsidP="007356D3" w:rsidRDefault="007356D3" w14:paraId="4620E7BB" w14:textId="1808DD37">
      <w:pPr>
        <w:pStyle w:val="NormalOCAshurst"/>
        <w:ind w:left="360"/>
        <w:jc w:val="center"/>
        <w:rPr>
          <w:b/>
          <w:bCs/>
        </w:rPr>
      </w:pPr>
      <w:r w:rsidRPr="00D861A3">
        <w:rPr>
          <w:b/>
          <w:bCs/>
        </w:rPr>
        <w:t>SCHEDULE 3</w:t>
      </w:r>
    </w:p>
    <w:p w:rsidRPr="00D861A3" w:rsidR="007356D3" w:rsidP="007356D3" w:rsidRDefault="007356D3" w14:paraId="7766CDD7" w14:textId="4F9E715E">
      <w:pPr>
        <w:pStyle w:val="NormalOCAshurst"/>
        <w:ind w:left="360"/>
        <w:jc w:val="center"/>
        <w:rPr>
          <w:b/>
          <w:bCs/>
        </w:rPr>
      </w:pPr>
      <w:r w:rsidRPr="00D861A3">
        <w:rPr>
          <w:b/>
          <w:bCs/>
        </w:rPr>
        <w:t>SUMMARY OF THE PROGRAMME</w:t>
      </w:r>
    </w:p>
    <w:p w:rsidRPr="00D861A3" w:rsidR="003923E7" w:rsidP="00DB215D" w:rsidRDefault="003923E7" w14:paraId="7630EBF5" w14:textId="5C20BD57">
      <w:pPr>
        <w:pStyle w:val="NormalOCAshurst"/>
        <w:numPr>
          <w:ilvl w:val="0"/>
          <w:numId w:val="48"/>
        </w:numPr>
        <w:rPr>
          <w:b/>
          <w:bCs/>
        </w:rPr>
      </w:pPr>
      <w:r w:rsidRPr="00D861A3">
        <w:rPr>
          <w:b/>
          <w:bCs/>
        </w:rPr>
        <w:t>Amendments to the Summary of the Programme?</w:t>
      </w:r>
    </w:p>
    <w:p w:rsidRPr="00D861A3" w:rsidR="007356D3" w:rsidP="00DB215D" w:rsidRDefault="003923E7" w14:paraId="3ED92CA0" w14:textId="41EDD0D9">
      <w:pPr>
        <w:pStyle w:val="NormalOCAshurst"/>
        <w:numPr>
          <w:ilvl w:val="1"/>
          <w:numId w:val="56"/>
        </w:numPr>
        <w:ind w:left="993" w:hanging="654"/>
      </w:pPr>
      <w:r w:rsidRPr="00D861A3">
        <w:t xml:space="preserve">The </w:t>
      </w:r>
      <w:r w:rsidRPr="00D861A3" w:rsidR="00DB215D">
        <w:t>row</w:t>
      </w:r>
      <w:r w:rsidRPr="00D861A3">
        <w:t xml:space="preserve"> entitled "</w:t>
      </w:r>
      <w:r w:rsidRPr="00D861A3" w:rsidR="003A4C08">
        <w:t>Regulation S/Rule 144A Securities</w:t>
      </w:r>
      <w:r w:rsidRPr="00D861A3">
        <w:t xml:space="preserve">" on page </w:t>
      </w:r>
      <w:r w:rsidRPr="00D861A3" w:rsidR="003A4C08">
        <w:t>14</w:t>
      </w:r>
      <w:r w:rsidRPr="00D861A3">
        <w:t xml:space="preserve"> of the Original </w:t>
      </w:r>
      <w:r w:rsidRPr="00D861A3">
        <w:rPr>
          <w:rFonts w:eastAsia="Microsoft JhengHei"/>
        </w:rPr>
        <w:t xml:space="preserve">Offering Circular </w:t>
      </w:r>
      <w:r w:rsidRPr="00D861A3">
        <w:t xml:space="preserve">shall be deleted in </w:t>
      </w:r>
      <w:r w:rsidRPr="00D861A3" w:rsidR="00C84358">
        <w:t>its</w:t>
      </w:r>
      <w:r w:rsidRPr="00D861A3">
        <w:t xml:space="preserve"> entirety and replaced with the following:</w:t>
      </w:r>
    </w:p>
    <w:tbl>
      <w:tblPr>
        <w:tblStyle w:val="TableGrid20"/>
        <w:tblW w:w="8046" w:type="dxa"/>
        <w:tblInd w:w="10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793"/>
        <w:gridCol w:w="6253"/>
      </w:tblGrid>
      <w:tr w:rsidRPr="00D861A3" w:rsidR="003A4C08" w:rsidTr="0017449C" w14:paraId="6EE7089C" w14:textId="77777777">
        <w:tc>
          <w:tcPr>
            <w:tcW w:w="1793" w:type="dxa"/>
          </w:tcPr>
          <w:p w:rsidRPr="00D861A3" w:rsidR="003A4C08" w:rsidP="003A4C08" w:rsidRDefault="003A4C08" w14:paraId="4E701495" w14:textId="0CAB0FF4">
            <w:pPr>
              <w:keepNext/>
              <w:suppressAutoHyphens/>
              <w:spacing w:after="200" w:line="240" w:lineRule="auto"/>
              <w:jc w:val="left"/>
              <w:rPr>
                <w:rFonts w:ascii="Times New Roman" w:hAnsi="Times New Roman" w:eastAsia="Microsoft JhengHei"/>
                <w:b/>
                <w:bCs/>
                <w:szCs w:val="20"/>
              </w:rPr>
            </w:pPr>
            <w:r w:rsidRPr="00D861A3">
              <w:rPr>
                <w:rFonts w:ascii="Times New Roman" w:hAnsi="Times New Roman" w:eastAsia="Microsoft JhengHei"/>
                <w:szCs w:val="20"/>
              </w:rPr>
              <w:t>"</w:t>
            </w:r>
            <w:r w:rsidRPr="00D861A3">
              <w:rPr>
                <w:rFonts w:ascii="Times New Roman" w:hAnsi="Times New Roman" w:eastAsia="Microsoft JhengHei"/>
                <w:b/>
                <w:bCs/>
                <w:szCs w:val="20"/>
              </w:rPr>
              <w:t>Regulation S/Rule 144A Securities:</w:t>
            </w:r>
          </w:p>
        </w:tc>
        <w:tc>
          <w:tcPr>
            <w:tcW w:w="6253" w:type="dxa"/>
          </w:tcPr>
          <w:p w:rsidRPr="00D861A3" w:rsidR="003A4C08" w:rsidP="003A4C08" w:rsidRDefault="003A4C08" w14:paraId="3CD267DB" w14:textId="198FC26F">
            <w:pPr>
              <w:suppressAutoHyphens/>
              <w:spacing w:after="200" w:line="240" w:lineRule="auto"/>
              <w:rPr>
                <w:rFonts w:ascii="Times New Roman" w:hAnsi="Times New Roman" w:eastAsia="Microsoft JhengHei"/>
                <w:szCs w:val="20"/>
              </w:rPr>
            </w:pPr>
            <w:r w:rsidRPr="00D861A3">
              <w:rPr>
                <w:rFonts w:ascii="Times New Roman" w:hAnsi="Times New Roman" w:eastAsia="Microsoft JhengHei"/>
                <w:szCs w:val="20"/>
              </w:rPr>
              <w:t>Certain Securities issued by JPMSP under the Programme may also be offered and sold concurrently (A) to or for the benefit of persons who are either affiliates (as defined in Rule 405 under the Securities Act) of the Issuer or who (i) are not U.S. persons (as such term is defined in Rule 902(k) of Regulation S) in accordance with Regulation S in "offshore transactions" (as such term is defined in Rule 902(h) of Regulation S); (ii) have entered into and remain in compliance with the provisions of an Investor Letter of Representations; and (iii) are "qualified investors", as defined in the EU Prospectus Regulation or POATRs (as applicable), or any other purchaser that is approved by the relevant Dealer from time to time and (B) to U.S. Persons that are QIBs pursuant to Rule 144A under the Securities Act and that (i) are QPs, (ii) are ECPs, (iii) are either (a) MUSIVs or (b) Qualified Offshore Clients, and (iv) have entered into and remain in compliance with the provisions of an Investor Letter of Representations (each such QIB, an "</w:t>
            </w:r>
            <w:r w:rsidRPr="00D861A3">
              <w:rPr>
                <w:rFonts w:ascii="Times New Roman" w:hAnsi="Times New Roman" w:eastAsia="Microsoft JhengHei"/>
                <w:b/>
                <w:bCs/>
                <w:szCs w:val="20"/>
              </w:rPr>
              <w:t>Eligible Investor</w:t>
            </w:r>
            <w:r w:rsidRPr="00D861A3">
              <w:rPr>
                <w:rFonts w:ascii="Times New Roman" w:hAnsi="Times New Roman" w:eastAsia="Microsoft JhengHei"/>
                <w:szCs w:val="20"/>
              </w:rPr>
              <w:t>")."</w:t>
            </w:r>
          </w:p>
        </w:tc>
      </w:tr>
    </w:tbl>
    <w:p w:rsidRPr="00D861A3" w:rsidR="003A4C08" w:rsidP="0017449C" w:rsidRDefault="003A4C08" w14:paraId="64C88DCD" w14:textId="77777777">
      <w:pPr>
        <w:pStyle w:val="NormalOCAshurst"/>
        <w:ind w:left="360"/>
        <w:rPr>
          <w:b/>
          <w:bCs/>
        </w:rPr>
      </w:pPr>
    </w:p>
    <w:p w:rsidRPr="00D861A3" w:rsidR="003A4C08" w:rsidP="00DB215D" w:rsidRDefault="003A4C08" w14:paraId="7CF4E8E8" w14:textId="7E0B5E15">
      <w:pPr>
        <w:pStyle w:val="NormalOCAshurst"/>
        <w:numPr>
          <w:ilvl w:val="1"/>
          <w:numId w:val="56"/>
        </w:numPr>
        <w:ind w:left="993" w:hanging="654"/>
      </w:pPr>
      <w:r w:rsidRPr="00D861A3">
        <w:t xml:space="preserve">The section entitled "Regulation S/Rule 144A Securities" on page 27 of the Original </w:t>
      </w:r>
      <w:r w:rsidRPr="00D861A3">
        <w:rPr>
          <w:rFonts w:eastAsia="Microsoft JhengHei"/>
        </w:rPr>
        <w:t xml:space="preserve">Offering Circular </w:t>
      </w:r>
      <w:r w:rsidRPr="00D861A3">
        <w:t xml:space="preserve">shall be deleted in </w:t>
      </w:r>
      <w:r w:rsidRPr="00D861A3" w:rsidR="00C84358">
        <w:t>its</w:t>
      </w:r>
      <w:r w:rsidRPr="00D861A3">
        <w:t xml:space="preserve"> entirety and replaced with the following:</w:t>
      </w:r>
    </w:p>
    <w:tbl>
      <w:tblPr>
        <w:tblStyle w:val="TableGrid"/>
        <w:tblW w:w="8330" w:type="dxa"/>
        <w:tblInd w:w="10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8330"/>
      </w:tblGrid>
      <w:tr w:rsidRPr="00D861A3" w:rsidR="003A4C08" w:rsidTr="003A4C08" w14:paraId="79870B49" w14:textId="77777777">
        <w:tc>
          <w:tcPr>
            <w:tcW w:w="8330" w:type="dxa"/>
          </w:tcPr>
          <w:p w:rsidRPr="00D861A3" w:rsidR="003A4C08" w:rsidP="005C64A0" w:rsidRDefault="003A4C08" w14:paraId="26E35029" w14:textId="77777777">
            <w:pPr>
              <w:pStyle w:val="NormalOCAshurst"/>
            </w:pPr>
            <w:r w:rsidRPr="00D861A3">
              <w:rPr>
                <w:b/>
                <w:bCs/>
                <w:i/>
                <w:iCs/>
              </w:rPr>
              <w:t>Regulation S/Rule 144A Securities</w:t>
            </w:r>
          </w:p>
        </w:tc>
      </w:tr>
      <w:tr w:rsidRPr="00D861A3" w:rsidR="003A4C08" w:rsidTr="003A4C08" w14:paraId="505CE383" w14:textId="77777777">
        <w:tc>
          <w:tcPr>
            <w:tcW w:w="8330" w:type="dxa"/>
          </w:tcPr>
          <w:p w:rsidRPr="00D861A3" w:rsidR="003A4C08" w:rsidP="005C64A0" w:rsidRDefault="003A4C08" w14:paraId="4CC8D9EB" w14:textId="0DBFCC00">
            <w:pPr>
              <w:pStyle w:val="NormalOCAshurst"/>
            </w:pPr>
            <w:r w:rsidRPr="00D861A3">
              <w:t>If the Issuer determines at any time that any transfer of a Regulation S/Rule 144A Security has been effected other than (A) to a person that is not an affiliate (as defined in Rule 405 under the Securities Act) of the Issuer who (i) is not a U.S. person (as such term is defined in Rule 902(k) of Regulation S) in accordance with Regulation S in "offshore transactions" (as such term is defined in Rule 902(h) of Regulation S); (ii) has entered into and remains in compliance with the provisions of the relevant Investor Letter of Representations; and (iii) is a "qualified investor", as defined in the EU Prospectus Regulation or POATRs (as applicable) or any other purchaser that is approved by the Dealer from time to time; or (B) to a person who is (i) a QIB, (ii) a QP, (iii) an ECP and (iv) either (a) a MUSIV or (b) a Qualified Offshore Client and (v) who has entered into and has remained in compliance with the relevant Investor Letter of Representations at the time of such transfer, (each person satisfying either sub-clause (A) or (B), for the purposes of this paragraph only, a "</w:t>
            </w:r>
            <w:r w:rsidRPr="00D861A3">
              <w:rPr>
                <w:b/>
                <w:bCs/>
              </w:rPr>
              <w:t>Permitted Transferee</w:t>
            </w:r>
            <w:r w:rsidRPr="00D861A3">
              <w:t>"), the Issuer may direct the Holder to sell or transfer such Security to a person who is a Permitted Transferee or to an affiliate of the Issuer within 14 days following receipt of notice of the direction. If the Holder fails to sell or transfer such Security within such period, the Issuer may at its discretion (x) cause such Security to be sold to an acquirer selected by the Issuer that certifies to the Issuer that such acquirer is a Permitted Transferee or to an affiliate of the Issuer, on terms as the Issuer may choose, subject to the purchaser representations and requirements and transfer restrictions set out herein (and in the Agency Agreement), and, pending such transfer, no further payments will be made in respect of such Security or (y) give notice to the Holder that such Warrant will be redeemed by the Issuer at the Early Payment Amount on the date specified in such notice.</w:t>
            </w:r>
          </w:p>
        </w:tc>
      </w:tr>
    </w:tbl>
    <w:p w:rsidRPr="00D861A3" w:rsidR="003A4C08" w:rsidP="003A4C08" w:rsidRDefault="003A4C08" w14:paraId="376DFDAB" w14:textId="77777777">
      <w:pPr>
        <w:pStyle w:val="NormalOCAshurst"/>
        <w:ind w:left="360"/>
      </w:pPr>
    </w:p>
    <w:p w:rsidRPr="00D861A3" w:rsidR="007356D3" w:rsidRDefault="007356D3" w14:paraId="46264B3B" w14:textId="3DF3BA4D">
      <w:pPr>
        <w:spacing w:line="240" w:lineRule="auto"/>
        <w:jc w:val="left"/>
        <w:rPr>
          <w:rFonts w:ascii="Times New Roman" w:hAnsi="Times New Roman" w:eastAsiaTheme="minorEastAsia" w:cstheme="minorBidi"/>
          <w:sz w:val="20"/>
          <w:szCs w:val="24"/>
          <w:lang w:eastAsia="zh-TW"/>
        </w:rPr>
      </w:pPr>
      <w:r w:rsidRPr="00D861A3">
        <w:rPr>
          <w:rFonts w:ascii="Times New Roman" w:hAnsi="Times New Roman" w:eastAsiaTheme="minorEastAsia" w:cstheme="minorBidi"/>
          <w:sz w:val="20"/>
          <w:szCs w:val="24"/>
          <w:lang w:eastAsia="zh-TW"/>
        </w:rPr>
        <w:br w:type="page"/>
      </w:r>
    </w:p>
    <w:p w:rsidRPr="00D861A3" w:rsidR="007356D3" w:rsidP="007356D3" w:rsidRDefault="007356D3" w14:paraId="6A0799A6" w14:textId="5AEC08AF">
      <w:pPr>
        <w:pStyle w:val="NormalOCAshurst"/>
        <w:ind w:left="360"/>
        <w:jc w:val="center"/>
        <w:rPr>
          <w:b/>
          <w:bCs/>
        </w:rPr>
      </w:pPr>
      <w:r w:rsidRPr="00D861A3">
        <w:rPr>
          <w:b/>
          <w:bCs/>
        </w:rPr>
        <w:t>SCHEDULE 4</w:t>
      </w:r>
    </w:p>
    <w:p w:rsidRPr="00D861A3" w:rsidR="007356D3" w:rsidP="007356D3" w:rsidRDefault="007356D3" w14:paraId="409E6C5E" w14:textId="5E4BD2B4">
      <w:pPr>
        <w:pStyle w:val="NormalOCAshurst"/>
        <w:ind w:left="360"/>
        <w:jc w:val="center"/>
        <w:rPr>
          <w:b/>
          <w:bCs/>
        </w:rPr>
      </w:pPr>
      <w:r w:rsidRPr="00D861A3">
        <w:rPr>
          <w:b/>
          <w:bCs/>
        </w:rPr>
        <w:t xml:space="preserve">USER'S GUIDE TO THE OFFERING CIRCULAR </w:t>
      </w:r>
    </w:p>
    <w:p w:rsidRPr="00D861A3" w:rsidR="00134B80" w:rsidP="00DB215D" w:rsidRDefault="00134B80" w14:paraId="6529347F" w14:textId="331FABF5">
      <w:pPr>
        <w:pStyle w:val="NormalOCAshurst"/>
        <w:numPr>
          <w:ilvl w:val="0"/>
          <w:numId w:val="48"/>
        </w:numPr>
        <w:rPr>
          <w:b/>
          <w:bCs/>
        </w:rPr>
      </w:pPr>
      <w:r w:rsidRPr="00D861A3">
        <w:rPr>
          <w:b/>
          <w:bCs/>
        </w:rPr>
        <w:t xml:space="preserve">Amendments to the User's Guide to the </w:t>
      </w:r>
      <w:r w:rsidRPr="00D861A3" w:rsidR="001E220F">
        <w:rPr>
          <w:rFonts w:eastAsia="Microsoft JhengHei"/>
          <w:b/>
          <w:bCs/>
        </w:rPr>
        <w:t>Offering Circular</w:t>
      </w:r>
      <w:r w:rsidRPr="00D861A3">
        <w:rPr>
          <w:b/>
          <w:bCs/>
        </w:rPr>
        <w:t>?</w:t>
      </w:r>
    </w:p>
    <w:p w:rsidRPr="00D861A3" w:rsidR="00134B80" w:rsidP="00134B80" w:rsidRDefault="00C84358" w14:paraId="78CFD46F" w14:textId="5B48E17C">
      <w:pPr>
        <w:pStyle w:val="NormalOCAshurst"/>
        <w:ind w:left="360"/>
      </w:pPr>
      <w:r w:rsidRPr="00D861A3">
        <w:t>S</w:t>
      </w:r>
      <w:r w:rsidRPr="00D861A3" w:rsidR="00134B80">
        <w:t xml:space="preserve">ection 2.2 entitled "The Supplement(s)" on page 155 of the Original </w:t>
      </w:r>
      <w:r w:rsidRPr="00D861A3" w:rsidR="00134B80">
        <w:rPr>
          <w:rFonts w:eastAsia="Microsoft JhengHei"/>
        </w:rPr>
        <w:t xml:space="preserve">Offering Circular </w:t>
      </w:r>
      <w:r w:rsidRPr="00D861A3" w:rsidR="00134B80">
        <w:t xml:space="preserve">shall be deleted in </w:t>
      </w:r>
      <w:r w:rsidRPr="00D861A3">
        <w:t xml:space="preserve">its </w:t>
      </w:r>
      <w:r w:rsidRPr="00D861A3" w:rsidR="00134B80">
        <w:t>entirety and replaced with the following:</w:t>
      </w:r>
    </w:p>
    <w:p w:rsidRPr="00D861A3" w:rsidR="00134B80" w:rsidP="00134B80" w:rsidRDefault="00134B80" w14:paraId="64D141C2" w14:textId="7E7BC6AD">
      <w:pPr>
        <w:pStyle w:val="H2OCAshurst"/>
        <w:numPr>
          <w:ilvl w:val="0"/>
          <w:numId w:val="0"/>
        </w:numPr>
        <w:ind w:left="360"/>
        <w:rPr>
          <w:rFonts w:ascii="Times New Roman" w:hAnsi="Times New Roman" w:eastAsia="Microsoft JhengHei"/>
        </w:rPr>
      </w:pPr>
      <w:r w:rsidRPr="00D861A3">
        <w:rPr>
          <w:rFonts w:ascii="Times New Roman" w:hAnsi="Times New Roman" w:eastAsia="Times New Roman"/>
          <w:b w:val="0"/>
        </w:rPr>
        <w:t>"2.2</w:t>
      </w:r>
      <w:r w:rsidRPr="00D861A3">
        <w:rPr>
          <w:rFonts w:ascii="Times New Roman" w:hAnsi="Times New Roman" w:eastAsia="Times New Roman"/>
          <w:b w:val="0"/>
        </w:rPr>
        <w:tab/>
      </w:r>
      <w:bookmarkStart w:name="_Ref160448978" w:id="7"/>
      <w:r w:rsidRPr="00D861A3">
        <w:rPr>
          <w:rFonts w:ascii="Times New Roman" w:hAnsi="Times New Roman" w:eastAsia="Microsoft JhengHei"/>
        </w:rPr>
        <w:t>The Supplement(s)</w:t>
      </w:r>
      <w:bookmarkEnd w:id="7"/>
    </w:p>
    <w:p w:rsidRPr="00D861A3" w:rsidR="00134B80" w:rsidP="00134B80" w:rsidRDefault="00134B80" w14:paraId="4AD4A051" w14:textId="77777777">
      <w:pPr>
        <w:tabs>
          <w:tab w:val="left" w:pos="709"/>
          <w:tab w:val="left" w:pos="1276"/>
          <w:tab w:val="left" w:pos="1843"/>
          <w:tab w:val="left" w:pos="2409"/>
          <w:tab w:val="left" w:pos="2976"/>
          <w:tab w:val="left" w:pos="3543"/>
          <w:tab w:val="left" w:pos="4110"/>
        </w:tabs>
        <w:suppressAutoHyphens/>
        <w:spacing w:after="200" w:line="240" w:lineRule="auto"/>
        <w:ind w:left="1134"/>
        <w:rPr>
          <w:rFonts w:ascii="Times New Roman" w:hAnsi="Times New Roman" w:eastAsia="Microsoft JhengHei"/>
          <w:sz w:val="20"/>
          <w:szCs w:val="20"/>
        </w:rPr>
      </w:pPr>
      <w:r w:rsidRPr="00D861A3">
        <w:rPr>
          <w:rFonts w:ascii="Times New Roman" w:hAnsi="Times New Roman" w:eastAsia="Microsoft JhengHei"/>
          <w:sz w:val="20"/>
          <w:szCs w:val="20"/>
        </w:rPr>
        <w:t>The Offering Circular may be supplemented from time to time. The supplement will be published on the Luxembourg Stock Exchange's website (www.luxse.com) and on Euronext Dublin's website (https://www.euronext.com/en/markets/dublin).</w:t>
      </w:r>
    </w:p>
    <w:p w:rsidRPr="00D861A3" w:rsidR="00134B80" w:rsidP="00134B80" w:rsidRDefault="00134B80" w14:paraId="5A173265" w14:textId="6AF3EFB1">
      <w:pPr>
        <w:tabs>
          <w:tab w:val="left" w:pos="709"/>
          <w:tab w:val="left" w:pos="1276"/>
          <w:tab w:val="left" w:pos="1843"/>
          <w:tab w:val="left" w:pos="2409"/>
          <w:tab w:val="left" w:pos="2976"/>
          <w:tab w:val="left" w:pos="3543"/>
          <w:tab w:val="left" w:pos="4110"/>
        </w:tabs>
        <w:suppressAutoHyphens/>
        <w:spacing w:after="200" w:line="240" w:lineRule="auto"/>
        <w:ind w:left="1134"/>
        <w:rPr>
          <w:rFonts w:ascii="Times New Roman" w:hAnsi="Times New Roman" w:eastAsia="Microsoft JhengHei"/>
          <w:sz w:val="20"/>
          <w:szCs w:val="20"/>
        </w:rPr>
      </w:pPr>
      <w:r w:rsidRPr="00D861A3">
        <w:rPr>
          <w:rFonts w:ascii="Times New Roman" w:hAnsi="Times New Roman" w:eastAsia="Microsoft JhengHei"/>
          <w:sz w:val="20"/>
          <w:szCs w:val="20"/>
        </w:rPr>
        <w:t>The Offering Circular is not a "prospectus" for the purposes of the EU Prospectus Regulation or the UK Prospectus Regulation or rules of the Financial Conduct Authority (the "</w:t>
      </w:r>
      <w:r w:rsidRPr="00D861A3">
        <w:rPr>
          <w:rFonts w:ascii="Times New Roman" w:hAnsi="Times New Roman" w:eastAsia="Microsoft JhengHei"/>
          <w:b/>
          <w:bCs/>
          <w:sz w:val="20"/>
          <w:szCs w:val="20"/>
        </w:rPr>
        <w:t>FCA</w:t>
      </w:r>
      <w:r w:rsidRPr="00D861A3">
        <w:rPr>
          <w:rFonts w:ascii="Times New Roman" w:hAnsi="Times New Roman" w:eastAsia="Microsoft JhengHei"/>
          <w:sz w:val="20"/>
          <w:szCs w:val="20"/>
        </w:rPr>
        <w:t>") in its Prospectus Rules: Admission to Trading on a Regulated Market sourcebook ("</w:t>
      </w:r>
      <w:r w:rsidRPr="00D861A3">
        <w:rPr>
          <w:rFonts w:ascii="Times New Roman" w:hAnsi="Times New Roman" w:eastAsia="Microsoft JhengHei"/>
          <w:b/>
          <w:bCs/>
          <w:sz w:val="20"/>
          <w:szCs w:val="20"/>
        </w:rPr>
        <w:t>PRM</w:t>
      </w:r>
      <w:r w:rsidRPr="00D861A3">
        <w:rPr>
          <w:rFonts w:ascii="Times New Roman" w:hAnsi="Times New Roman" w:eastAsia="Microsoft JhengHei"/>
          <w:sz w:val="20"/>
          <w:szCs w:val="20"/>
        </w:rPr>
        <w:t>") made under the Public Offers and Admissions to Trading Regulations 2024 (the "</w:t>
      </w:r>
      <w:r w:rsidRPr="00D861A3">
        <w:rPr>
          <w:rFonts w:ascii="Times New Roman" w:hAnsi="Times New Roman" w:eastAsia="Microsoft JhengHei"/>
          <w:b/>
          <w:bCs/>
          <w:sz w:val="20"/>
          <w:szCs w:val="20"/>
        </w:rPr>
        <w:t>POATRs</w:t>
      </w:r>
      <w:r w:rsidRPr="00D861A3">
        <w:rPr>
          <w:rFonts w:ascii="Times New Roman" w:hAnsi="Times New Roman" w:eastAsia="Microsoft JhengHei"/>
          <w:sz w:val="20"/>
          <w:szCs w:val="20"/>
        </w:rPr>
        <w:t>") (see "</w:t>
      </w:r>
      <w:r w:rsidRPr="00D861A3">
        <w:rPr>
          <w:rFonts w:ascii="Times New Roman" w:hAnsi="Times New Roman" w:eastAsia="Microsoft JhengHei"/>
          <w:i/>
          <w:iCs/>
          <w:sz w:val="20"/>
          <w:szCs w:val="20"/>
        </w:rPr>
        <w:t>Important Legal Information – Warning</w:t>
      </w:r>
      <w:r w:rsidRPr="00D861A3">
        <w:rPr>
          <w:rFonts w:ascii="Times New Roman" w:hAnsi="Times New Roman" w:eastAsia="Microsoft JhengHei"/>
          <w:sz w:val="20"/>
          <w:szCs w:val="20"/>
        </w:rPr>
        <w:t>" below)."</w:t>
      </w:r>
    </w:p>
    <w:p w:rsidRPr="00D861A3" w:rsidR="007356D3" w:rsidRDefault="007356D3" w14:paraId="3504FA19" w14:textId="1AFB7304">
      <w:pPr>
        <w:spacing w:line="240" w:lineRule="auto"/>
        <w:jc w:val="left"/>
        <w:rPr>
          <w:rFonts w:ascii="Times New Roman" w:hAnsi="Times New Roman" w:eastAsiaTheme="minorEastAsia" w:cstheme="minorBidi"/>
          <w:sz w:val="20"/>
          <w:szCs w:val="24"/>
          <w:lang w:eastAsia="zh-TW"/>
        </w:rPr>
      </w:pPr>
      <w:r w:rsidRPr="00D861A3">
        <w:rPr>
          <w:rFonts w:ascii="Times New Roman" w:hAnsi="Times New Roman" w:eastAsiaTheme="minorEastAsia" w:cstheme="minorBidi"/>
          <w:sz w:val="20"/>
          <w:szCs w:val="24"/>
          <w:lang w:eastAsia="zh-TW"/>
        </w:rPr>
        <w:br w:type="page"/>
      </w:r>
    </w:p>
    <w:p w:rsidRPr="00D861A3" w:rsidR="007356D3" w:rsidP="007356D3" w:rsidRDefault="007356D3" w14:paraId="0AF4685E" w14:textId="41077815">
      <w:pPr>
        <w:pStyle w:val="NormalOCAshurst"/>
        <w:ind w:left="360"/>
        <w:jc w:val="center"/>
        <w:rPr>
          <w:b/>
          <w:bCs/>
        </w:rPr>
      </w:pPr>
      <w:r w:rsidRPr="00D861A3">
        <w:rPr>
          <w:b/>
          <w:bCs/>
        </w:rPr>
        <w:t>SCHEDULE 5</w:t>
      </w:r>
    </w:p>
    <w:p w:rsidRPr="00D861A3" w:rsidR="007356D3" w:rsidP="007356D3" w:rsidRDefault="00C84358" w14:paraId="5D54881B" w14:textId="61A4334E">
      <w:pPr>
        <w:pStyle w:val="NormalOCAshurst"/>
        <w:ind w:left="360"/>
        <w:jc w:val="center"/>
        <w:rPr>
          <w:b/>
          <w:bCs/>
        </w:rPr>
      </w:pPr>
      <w:r w:rsidRPr="00D861A3">
        <w:rPr>
          <w:b/>
          <w:bCs/>
        </w:rPr>
        <w:t>GENERAL CONDITIONS</w:t>
      </w:r>
    </w:p>
    <w:p w:rsidRPr="00D861A3" w:rsidR="007356D3" w:rsidP="00DB215D" w:rsidRDefault="007356D3" w14:paraId="0EF66939" w14:textId="77777777">
      <w:pPr>
        <w:pStyle w:val="NormalOCAshurst"/>
        <w:numPr>
          <w:ilvl w:val="0"/>
          <w:numId w:val="45"/>
        </w:numPr>
        <w:ind w:left="720"/>
        <w:rPr>
          <w:b/>
          <w:bCs/>
        </w:rPr>
      </w:pPr>
      <w:r w:rsidRPr="00D861A3">
        <w:rPr>
          <w:b/>
          <w:bCs/>
        </w:rPr>
        <w:t>Amendments to the General Conditions</w:t>
      </w:r>
    </w:p>
    <w:p w:rsidRPr="00D861A3" w:rsidR="007356D3" w:rsidP="00DB215D" w:rsidRDefault="00016F5E" w14:paraId="1E2F7B63" w14:textId="41A88440">
      <w:pPr>
        <w:pStyle w:val="ListParagraph"/>
        <w:numPr>
          <w:ilvl w:val="1"/>
          <w:numId w:val="45"/>
        </w:numPr>
        <w:rPr>
          <w:rFonts w:ascii="Times New Roman" w:hAnsi="Times New Roman"/>
          <w:sz w:val="20"/>
          <w:szCs w:val="20"/>
        </w:rPr>
      </w:pPr>
      <w:r w:rsidRPr="00D861A3">
        <w:rPr>
          <w:rFonts w:ascii="Times New Roman" w:hAnsi="Times New Roman"/>
          <w:sz w:val="20"/>
          <w:szCs w:val="20"/>
        </w:rPr>
        <w:t>General Condition 2.3</w:t>
      </w:r>
      <w:r w:rsidRPr="00D861A3" w:rsidR="00C84358">
        <w:rPr>
          <w:rFonts w:ascii="Times New Roman" w:hAnsi="Times New Roman"/>
          <w:sz w:val="20"/>
          <w:szCs w:val="20"/>
        </w:rPr>
        <w:t>(a)(iv)</w:t>
      </w:r>
      <w:r w:rsidRPr="00D861A3">
        <w:rPr>
          <w:rFonts w:ascii="Times New Roman" w:hAnsi="Times New Roman"/>
          <w:sz w:val="20"/>
          <w:szCs w:val="20"/>
        </w:rPr>
        <w:t xml:space="preserve"> entitled "</w:t>
      </w:r>
      <w:r w:rsidRPr="00D861A3" w:rsidR="00C84358">
        <w:rPr>
          <w:rFonts w:ascii="Times New Roman" w:hAnsi="Times New Roman"/>
          <w:sz w:val="20"/>
          <w:szCs w:val="20"/>
        </w:rPr>
        <w:t>Regulation S/Rule 144A Securities</w:t>
      </w:r>
      <w:r w:rsidRPr="00D861A3">
        <w:rPr>
          <w:rFonts w:ascii="Times New Roman" w:hAnsi="Times New Roman"/>
          <w:sz w:val="20"/>
          <w:szCs w:val="20"/>
        </w:rPr>
        <w:t xml:space="preserve">" on pages </w:t>
      </w:r>
      <w:r w:rsidRPr="00D861A3" w:rsidR="001B09A9">
        <w:rPr>
          <w:rFonts w:ascii="Times New Roman" w:hAnsi="Times New Roman"/>
          <w:sz w:val="20"/>
          <w:szCs w:val="20"/>
        </w:rPr>
        <w:t>251</w:t>
      </w:r>
      <w:r w:rsidRPr="00D861A3">
        <w:rPr>
          <w:rFonts w:ascii="Times New Roman" w:hAnsi="Times New Roman"/>
          <w:sz w:val="20"/>
          <w:szCs w:val="20"/>
        </w:rPr>
        <w:t xml:space="preserve"> to </w:t>
      </w:r>
      <w:r w:rsidRPr="00D861A3" w:rsidR="001B09A9">
        <w:rPr>
          <w:rFonts w:ascii="Times New Roman" w:hAnsi="Times New Roman"/>
          <w:sz w:val="20"/>
          <w:szCs w:val="20"/>
        </w:rPr>
        <w:t>252</w:t>
      </w:r>
      <w:r w:rsidRPr="00D861A3">
        <w:rPr>
          <w:rFonts w:ascii="Times New Roman" w:hAnsi="Times New Roman"/>
          <w:sz w:val="20"/>
          <w:szCs w:val="20"/>
        </w:rPr>
        <w:t xml:space="preserve"> of the Original </w:t>
      </w:r>
      <w:r w:rsidRPr="00D861A3" w:rsidR="001E220F">
        <w:rPr>
          <w:rFonts w:ascii="Times New Roman" w:hAnsi="Times New Roman"/>
          <w:sz w:val="20"/>
          <w:szCs w:val="20"/>
        </w:rPr>
        <w:t xml:space="preserve">Offering Circular </w:t>
      </w:r>
      <w:r w:rsidRPr="00D861A3">
        <w:rPr>
          <w:rFonts w:ascii="Times New Roman" w:hAnsi="Times New Roman"/>
          <w:sz w:val="20"/>
          <w:szCs w:val="20"/>
        </w:rPr>
        <w:t xml:space="preserve">shall be deleted in </w:t>
      </w:r>
      <w:r w:rsidRPr="00D861A3" w:rsidR="00C84358">
        <w:rPr>
          <w:rFonts w:ascii="Times New Roman" w:hAnsi="Times New Roman"/>
          <w:sz w:val="20"/>
          <w:szCs w:val="20"/>
        </w:rPr>
        <w:t>its</w:t>
      </w:r>
      <w:r w:rsidRPr="00D861A3">
        <w:rPr>
          <w:rFonts w:ascii="Times New Roman" w:hAnsi="Times New Roman"/>
          <w:sz w:val="20"/>
          <w:szCs w:val="20"/>
        </w:rPr>
        <w:t xml:space="preserve"> entirety and replaced with the following:</w:t>
      </w:r>
    </w:p>
    <w:p w:rsidRPr="00D861A3" w:rsidR="00016F5E" w:rsidP="00016F5E" w:rsidRDefault="00016F5E" w14:paraId="46B85DE4" w14:textId="77777777">
      <w:pPr>
        <w:pStyle w:val="ListParagraph"/>
        <w:ind w:left="1080"/>
        <w:jc w:val="left"/>
        <w:rPr>
          <w:rFonts w:ascii="Times New Roman" w:hAnsi="Times New Roman"/>
          <w:sz w:val="20"/>
          <w:szCs w:val="20"/>
        </w:rPr>
      </w:pPr>
    </w:p>
    <w:p w:rsidRPr="00D861A3" w:rsidR="006D0897" w:rsidP="006D0897" w:rsidRDefault="007356D3" w14:paraId="4C2B0B06" w14:textId="48723AC1">
      <w:pPr>
        <w:pStyle w:val="AltH4OCAshurst"/>
        <w:numPr>
          <w:ilvl w:val="0"/>
          <w:numId w:val="0"/>
        </w:numPr>
        <w:tabs>
          <w:tab w:val="clear" w:pos="2880"/>
        </w:tabs>
        <w:ind w:left="1701" w:hanging="567"/>
      </w:pPr>
      <w:r w:rsidRPr="00D861A3">
        <w:t>"</w:t>
      </w:r>
      <w:bookmarkStart w:name="_Ref504994215" w:id="8"/>
      <w:r w:rsidRPr="00D861A3" w:rsidR="006D0897">
        <w:t>(iv)</w:t>
      </w:r>
      <w:r w:rsidRPr="00D861A3" w:rsidR="006D0897">
        <w:tab/>
      </w:r>
      <w:r w:rsidRPr="00D861A3" w:rsidR="006D0897">
        <w:rPr>
          <w:i/>
        </w:rPr>
        <w:t>Regulation S/Rule 144A Securities</w:t>
      </w:r>
      <w:r w:rsidRPr="00D861A3" w:rsidR="006D0897">
        <w:t>: If the Issuer determines at any time that any transfer of a Regulation S/Rule 144A Security has been effected other than (A) to a person who is not an Affiliate of the Issuer and (i) is not a U.S. Person in accordance with Regulation S in "offshore transactions" (as such term is defined in Rule 902(h) of Regulation S); (ii) has entered into and remains in compliance with the provisions of the relevant Investor Letter of Representations; and (iii) is a "qualified investor", as defined in the EU Prospectus Regulation or POATRs (as applicable), or any other purchaser that is approved by the Dealer from time to time: or (B) to a person who is (i) a QIB, (ii) a QP, (iii) an ECP and (iv) either (a) a MUSIV or (b) a Qualified Offshore Client and (v) who has entered into and has remained in compliance with the relevant Investor Letter of Representations at the time of such transfer, (each person satisfying either sub-clause (A) or sub-clause (B), for the purpose of this General Condition 2.3(a)(iv) (</w:t>
      </w:r>
      <w:r w:rsidRPr="00D861A3" w:rsidR="006D0897">
        <w:rPr>
          <w:i/>
        </w:rPr>
        <w:t>Regulation S/Rule 144A Securities</w:t>
      </w:r>
      <w:r w:rsidRPr="00D861A3" w:rsidR="006D0897">
        <w:t>) only, a "</w:t>
      </w:r>
      <w:r w:rsidRPr="00D861A3" w:rsidR="006D0897">
        <w:rPr>
          <w:b/>
        </w:rPr>
        <w:t>Permitted Transferee</w:t>
      </w:r>
      <w:r w:rsidRPr="00D861A3" w:rsidR="006D0897">
        <w:t>"), the Issuer may direct the Holder to sell or transfer its Regulation S/Rule 144A Security to a person who is a Permitted Transferee or to an Affiliate of the Issuer within 14 days following receipt of notice of the direction. If the Holder fails to sell or transfer such Regulation S/Rule 144A Security within such period, the Issuer may at its discretion (x) cause such Security to be sold to an acquirer selected by the Issuer that certifies to the Issuer that such acquirer is a Permitted Transferee or to an Affiliate of the Issuer, on terms as the Issuer may choose, subject to the purchaser representations and requirements and transfer restrictions set out herein (and in the Agency Agreement), and, pending such transfer, no further payments will be made in respect of such Regulation S/Rule 144A Security or (y) give notice to the Holder that such Regulation S/Rule 144A Security will be redeemed by the Issuer at the Early Payment Amount on the date specified in such notice.</w:t>
      </w:r>
      <w:bookmarkEnd w:id="8"/>
    </w:p>
    <w:p w:rsidRPr="00D861A3" w:rsidR="007356D3" w:rsidP="006D0897" w:rsidRDefault="006D0897" w14:paraId="1E9D49FA" w14:textId="78131CBD">
      <w:pPr>
        <w:tabs>
          <w:tab w:val="left" w:pos="1276"/>
          <w:tab w:val="left" w:pos="1843"/>
          <w:tab w:val="left" w:pos="2409"/>
          <w:tab w:val="left" w:pos="2976"/>
          <w:tab w:val="left" w:pos="3543"/>
          <w:tab w:val="left" w:pos="4110"/>
        </w:tabs>
        <w:suppressAutoHyphens/>
        <w:spacing w:after="200" w:line="240" w:lineRule="auto"/>
        <w:ind w:left="1701"/>
      </w:pPr>
      <w:r w:rsidRPr="00D861A3">
        <w:rPr>
          <w:rFonts w:ascii="Times New Roman" w:hAnsi="Times New Roman" w:eastAsia="Microsoft JhengHei"/>
          <w:sz w:val="20"/>
          <w:szCs w:val="20"/>
        </w:rPr>
        <w:t>In the event of a sale in accordance with sub-clause (x) of the preceding paragraph, the Issuer may select an acquirer by any means determined by it in its sole discretion. The proceeds of the sale, net of any commissions, expenses and taxes due in connection with the sale shall be remitted to the selling Holder. The terms and conditions of any sale hereunder (including the sale price) shall be determined in the sole discretion of the Issuer, subject to the purchaser representations and requirements and transfer restrictions set out herein (and in the Agency Agreement), and the Issuer shall not be liable to any person having an interest in the Regulation S/Rule 144A Security sold as a result of any sale or the exercise of such discretion.</w:t>
      </w:r>
      <w:r w:rsidRPr="00D861A3" w:rsidR="007356D3">
        <w:t>"</w:t>
      </w:r>
    </w:p>
    <w:p w:rsidRPr="00D861A3" w:rsidR="007356D3" w:rsidP="00DB215D" w:rsidRDefault="007356D3" w14:paraId="132BBA77" w14:textId="4E1D984C">
      <w:pPr>
        <w:pStyle w:val="NormalOCAshurst"/>
        <w:numPr>
          <w:ilvl w:val="1"/>
          <w:numId w:val="45"/>
        </w:numPr>
      </w:pPr>
      <w:bookmarkStart w:name="_Hlk219285390" w:id="9"/>
      <w:bookmarkStart w:name="_Hlk219216780" w:id="10"/>
      <w:r w:rsidRPr="00D861A3">
        <w:t xml:space="preserve">The following new definition for "POATRs" shall be inserted on page </w:t>
      </w:r>
      <w:r w:rsidRPr="00D861A3" w:rsidR="001B09A9">
        <w:t>376</w:t>
      </w:r>
      <w:r w:rsidRPr="00D861A3">
        <w:t xml:space="preserve"> of the Original </w:t>
      </w:r>
      <w:r w:rsidRPr="00D861A3" w:rsidR="00016F5E">
        <w:rPr>
          <w:rFonts w:eastAsia="Microsoft JhengHei"/>
        </w:rPr>
        <w:t xml:space="preserve">Offering Circular </w:t>
      </w:r>
      <w:r w:rsidRPr="00D861A3">
        <w:t>after the definition of "Physical Settlement Cut-off Date" and before the definition of "Potential Exercise Date":</w:t>
      </w:r>
    </w:p>
    <w:bookmarkEnd w:id="9"/>
    <w:p w:rsidRPr="00D861A3" w:rsidR="007356D3" w:rsidP="007356D3" w:rsidRDefault="007356D3" w14:paraId="0F9D1504" w14:textId="77777777">
      <w:pPr>
        <w:pStyle w:val="NormalOCAshurst"/>
        <w:ind w:left="1080"/>
      </w:pPr>
      <w:r w:rsidRPr="00D861A3">
        <w:t>""</w:t>
      </w:r>
      <w:r w:rsidRPr="00D861A3">
        <w:rPr>
          <w:b/>
          <w:bCs/>
        </w:rPr>
        <w:t>POATRs</w:t>
      </w:r>
      <w:r w:rsidRPr="00D861A3">
        <w:t>" means the Public Offers and Admissions to Trading Regulations 2024."</w:t>
      </w:r>
    </w:p>
    <w:bookmarkEnd w:id="10"/>
    <w:p w:rsidRPr="00D861A3" w:rsidR="007356D3" w:rsidRDefault="007356D3" w14:paraId="3B782371" w14:textId="56969AEA">
      <w:pPr>
        <w:spacing w:line="240" w:lineRule="auto"/>
        <w:jc w:val="left"/>
        <w:rPr>
          <w:rFonts w:ascii="Times New Roman" w:hAnsi="Times New Roman" w:eastAsiaTheme="minorEastAsia" w:cstheme="minorBidi"/>
          <w:sz w:val="20"/>
          <w:szCs w:val="24"/>
          <w:lang w:eastAsia="zh-TW"/>
        </w:rPr>
      </w:pPr>
      <w:r w:rsidRPr="00D861A3">
        <w:rPr>
          <w:rFonts w:ascii="Times New Roman" w:hAnsi="Times New Roman" w:eastAsiaTheme="minorEastAsia" w:cstheme="minorBidi"/>
          <w:sz w:val="20"/>
          <w:szCs w:val="24"/>
          <w:lang w:eastAsia="zh-TW"/>
        </w:rPr>
        <w:br w:type="page"/>
      </w:r>
    </w:p>
    <w:p w:rsidRPr="00D861A3" w:rsidR="007356D3" w:rsidP="007356D3" w:rsidRDefault="007356D3" w14:paraId="6027EBDF" w14:textId="0B92A0CB">
      <w:pPr>
        <w:pStyle w:val="NormalOCAshurst"/>
        <w:ind w:left="360"/>
        <w:jc w:val="center"/>
        <w:rPr>
          <w:b/>
          <w:bCs/>
        </w:rPr>
      </w:pPr>
      <w:bookmarkStart w:name="_Hlk219217316" w:id="11"/>
      <w:r w:rsidRPr="00D861A3">
        <w:rPr>
          <w:b/>
          <w:bCs/>
        </w:rPr>
        <w:t>SCHEDULE 6</w:t>
      </w:r>
    </w:p>
    <w:p w:rsidRPr="00D861A3" w:rsidR="007356D3" w:rsidP="007356D3" w:rsidRDefault="007356D3" w14:paraId="7690B35C" w14:textId="77777777">
      <w:pPr>
        <w:pStyle w:val="NormalOCAshurst"/>
        <w:ind w:left="360"/>
        <w:jc w:val="center"/>
        <w:rPr>
          <w:b/>
          <w:bCs/>
        </w:rPr>
      </w:pPr>
      <w:r w:rsidRPr="00D861A3">
        <w:rPr>
          <w:b/>
          <w:bCs/>
        </w:rPr>
        <w:t>FORM OF PRICING SUPPLEMENT</w:t>
      </w:r>
    </w:p>
    <w:p w:rsidRPr="00D861A3" w:rsidR="007356D3" w:rsidP="00DB215D" w:rsidRDefault="007356D3" w14:paraId="283DB919" w14:textId="77777777">
      <w:pPr>
        <w:pStyle w:val="NormalOCAshurst"/>
        <w:numPr>
          <w:ilvl w:val="0"/>
          <w:numId w:val="46"/>
        </w:numPr>
        <w:rPr>
          <w:b/>
          <w:bCs/>
        </w:rPr>
      </w:pPr>
      <w:r w:rsidRPr="00D861A3">
        <w:rPr>
          <w:b/>
          <w:bCs/>
        </w:rPr>
        <w:t xml:space="preserve">Amendments to the legend for Prohibition of Sales to UK Retail Investors </w:t>
      </w:r>
    </w:p>
    <w:p w:rsidRPr="00D861A3" w:rsidR="007356D3" w:rsidP="007356D3" w:rsidRDefault="007356D3" w14:paraId="62F2C47A" w14:textId="3172F8C0">
      <w:pPr>
        <w:pStyle w:val="NormalOCAshurst"/>
        <w:ind w:left="360"/>
      </w:pPr>
      <w:r w:rsidRPr="00D861A3">
        <w:t>The legend beginning</w:t>
      </w:r>
      <w:r w:rsidRPr="00D861A3" w:rsidR="001B7346">
        <w:t xml:space="preserve"> with</w:t>
      </w:r>
      <w:r w:rsidRPr="00D861A3">
        <w:t xml:space="preserve"> "[</w:t>
      </w:r>
      <w:r w:rsidRPr="00D861A3">
        <w:rPr>
          <w:i/>
          <w:iCs/>
        </w:rPr>
        <w:t>Include if applicable</w:t>
      </w:r>
      <w:r w:rsidRPr="00D861A3">
        <w:t xml:space="preserve">: </w:t>
      </w:r>
      <w:r w:rsidRPr="00D861A3">
        <w:rPr>
          <w:b/>
          <w:bCs/>
        </w:rPr>
        <w:t>PROHIBITION OF SALES TO UK RETAIL INVESTORS</w:t>
      </w:r>
      <w:r w:rsidRPr="00D861A3">
        <w:t>" on page</w:t>
      </w:r>
      <w:r w:rsidRPr="00D861A3" w:rsidR="002C78CB">
        <w:t>s</w:t>
      </w:r>
      <w:r w:rsidRPr="00D861A3">
        <w:t xml:space="preserve"> </w:t>
      </w:r>
      <w:r w:rsidRPr="00D861A3" w:rsidR="002C78CB">
        <w:t>530 to 531</w:t>
      </w:r>
      <w:r w:rsidRPr="00D861A3">
        <w:t xml:space="preserve"> of the Original </w:t>
      </w:r>
      <w:r w:rsidRPr="00D861A3" w:rsidR="00016F5E">
        <w:rPr>
          <w:rFonts w:eastAsia="Microsoft JhengHei"/>
        </w:rPr>
        <w:t xml:space="preserve">Offering Circular </w:t>
      </w:r>
      <w:r w:rsidRPr="00D861A3">
        <w:t>shall be deleted in its entirety and replaced with the following:</w:t>
      </w:r>
    </w:p>
    <w:bookmarkEnd w:id="11"/>
    <w:p w:rsidRPr="00D861A3" w:rsidR="001B09A9" w:rsidP="001B09A9" w:rsidRDefault="001B09A9" w14:paraId="104FF34A" w14:textId="6C18FA29">
      <w:pPr>
        <w:suppressAutoHyphens/>
        <w:spacing w:after="200" w:line="240" w:lineRule="auto"/>
        <w:ind w:left="360"/>
        <w:rPr>
          <w:rFonts w:ascii="Times New Roman" w:hAnsi="Times New Roman" w:eastAsia="Microsoft JhengHei"/>
          <w:sz w:val="20"/>
          <w:szCs w:val="20"/>
        </w:rPr>
      </w:pPr>
      <w:r w:rsidRPr="00D861A3">
        <w:rPr>
          <w:rFonts w:ascii="Times New Roman" w:hAnsi="Times New Roman" w:eastAsia="Microsoft JhengHei"/>
          <w:sz w:val="20"/>
          <w:szCs w:val="20"/>
        </w:rPr>
        <w:t>"[</w:t>
      </w:r>
      <w:r w:rsidRPr="00D861A3">
        <w:rPr>
          <w:rFonts w:ascii="Times New Roman" w:hAnsi="Times New Roman" w:eastAsia="Microsoft JhengHei"/>
          <w:i/>
          <w:iCs/>
          <w:sz w:val="20"/>
          <w:szCs w:val="20"/>
        </w:rPr>
        <w:t>Include if applicable</w:t>
      </w:r>
      <w:r w:rsidRPr="00D861A3">
        <w:rPr>
          <w:rFonts w:ascii="Times New Roman" w:hAnsi="Times New Roman" w:eastAsia="Microsoft JhengHei"/>
          <w:sz w:val="20"/>
          <w:szCs w:val="20"/>
        </w:rPr>
        <w:t xml:space="preserve">: </w:t>
      </w:r>
      <w:r w:rsidRPr="00D861A3">
        <w:rPr>
          <w:rFonts w:ascii="Times New Roman" w:hAnsi="Times New Roman" w:eastAsia="Microsoft JhengHei"/>
          <w:b/>
          <w:bCs/>
          <w:sz w:val="20"/>
          <w:szCs w:val="20"/>
        </w:rPr>
        <w:t>PROHIBITION OF SALES TO UK RETAIL INVESTORS</w:t>
      </w:r>
      <w:r w:rsidRPr="00D861A3">
        <w:rPr>
          <w:rFonts w:ascii="Times New Roman" w:hAnsi="Times New Roman" w:eastAsia="Microsoft JhengHei"/>
          <w:sz w:val="20"/>
          <w:szCs w:val="20"/>
        </w:rPr>
        <w:t>: The Securities are not intended to be offered, sold, distributed or otherwise made available to and should not be offered, sold, distributed or otherwise made available to any retail investor in the United Kingdom. For these purposes, a retail investor means:</w:t>
      </w:r>
    </w:p>
    <w:p w:rsidRPr="00D861A3" w:rsidR="001B09A9" w:rsidP="00DB215D" w:rsidRDefault="001B09A9" w14:paraId="66351E05" w14:textId="77777777">
      <w:pPr>
        <w:pStyle w:val="AltH3OCAshurst"/>
        <w:numPr>
          <w:ilvl w:val="2"/>
          <w:numId w:val="49"/>
        </w:numPr>
        <w:tabs>
          <w:tab w:val="clear" w:pos="709"/>
          <w:tab w:val="num" w:pos="1069"/>
        </w:tabs>
        <w:ind w:left="1069"/>
        <w:jc w:val="left"/>
      </w:pPr>
      <w:r w:rsidRPr="00D861A3">
        <w:t>a person who is neither:</w:t>
      </w:r>
    </w:p>
    <w:p w:rsidRPr="00D861A3" w:rsidR="001B09A9" w:rsidP="00DB215D" w:rsidRDefault="001B09A9" w14:paraId="1ECD923D" w14:textId="77777777">
      <w:pPr>
        <w:numPr>
          <w:ilvl w:val="3"/>
          <w:numId w:val="44"/>
        </w:numPr>
        <w:tabs>
          <w:tab w:val="clear" w:pos="1276"/>
          <w:tab w:val="num" w:pos="1636"/>
        </w:tabs>
        <w:suppressAutoHyphens/>
        <w:spacing w:after="200" w:line="240" w:lineRule="auto"/>
        <w:ind w:left="1636"/>
        <w:jc w:val="left"/>
        <w:outlineLvl w:val="3"/>
        <w:rPr>
          <w:rFonts w:ascii="Times New Roman" w:hAnsi="Times New Roman" w:eastAsia="Microsoft JhengHei"/>
          <w:sz w:val="20"/>
          <w:szCs w:val="20"/>
        </w:rPr>
      </w:pPr>
      <w:r w:rsidRPr="00D861A3">
        <w:rPr>
          <w:rFonts w:ascii="Times New Roman" w:hAnsi="Times New Roman" w:eastAsia="Microsoft JhengHei"/>
          <w:sz w:val="20"/>
          <w:szCs w:val="20"/>
        </w:rPr>
        <w:t>a professional client, as defined in point (8) of Article 2(1) of Regulation (EU) No 600/2014 as it forms part of UK domestic law by virtue of the European Union (Withdrawal) Act 2018 (as amended, the "</w:t>
      </w:r>
      <w:r w:rsidRPr="00D861A3">
        <w:rPr>
          <w:rFonts w:ascii="Times New Roman" w:hAnsi="Times New Roman" w:eastAsia="Microsoft JhengHei"/>
          <w:b/>
          <w:bCs/>
          <w:sz w:val="20"/>
          <w:szCs w:val="20"/>
        </w:rPr>
        <w:t>EUWA</w:t>
      </w:r>
      <w:r w:rsidRPr="00D861A3">
        <w:rPr>
          <w:rFonts w:ascii="Times New Roman" w:hAnsi="Times New Roman" w:eastAsia="Microsoft JhengHei"/>
          <w:sz w:val="20"/>
          <w:szCs w:val="20"/>
        </w:rPr>
        <w:t xml:space="preserve">"); nor </w:t>
      </w:r>
    </w:p>
    <w:p w:rsidRPr="00D861A3" w:rsidR="001B09A9" w:rsidP="00DB215D" w:rsidRDefault="001B09A9" w14:paraId="4F7001A1" w14:textId="77777777">
      <w:pPr>
        <w:numPr>
          <w:ilvl w:val="3"/>
          <w:numId w:val="44"/>
        </w:numPr>
        <w:tabs>
          <w:tab w:val="clear" w:pos="1276"/>
          <w:tab w:val="num" w:pos="1636"/>
        </w:tabs>
        <w:suppressAutoHyphens/>
        <w:spacing w:after="200" w:line="240" w:lineRule="auto"/>
        <w:ind w:left="1636"/>
        <w:jc w:val="left"/>
        <w:outlineLvl w:val="3"/>
        <w:rPr>
          <w:rFonts w:ascii="Times New Roman" w:hAnsi="Times New Roman" w:eastAsia="Microsoft JhengHei"/>
          <w:sz w:val="20"/>
          <w:szCs w:val="20"/>
        </w:rPr>
      </w:pPr>
      <w:r w:rsidRPr="00D861A3">
        <w:rPr>
          <w:rFonts w:ascii="Times New Roman" w:hAnsi="Times New Roman" w:eastAsia="Microsoft JhengHei"/>
          <w:sz w:val="20"/>
          <w:szCs w:val="20"/>
        </w:rPr>
        <w:t>a qualified investor as defined in paragraph 15 of Schedule 1 to the Public Offers and Admissions to Trading Regulations 2024 (the "</w:t>
      </w:r>
      <w:r w:rsidRPr="00D861A3">
        <w:rPr>
          <w:rFonts w:ascii="Times New Roman" w:hAnsi="Times New Roman" w:eastAsia="Microsoft JhengHei"/>
          <w:b/>
          <w:bCs/>
          <w:sz w:val="20"/>
          <w:szCs w:val="20"/>
        </w:rPr>
        <w:t>POATRs</w:t>
      </w:r>
      <w:r w:rsidRPr="00D861A3">
        <w:rPr>
          <w:rFonts w:ascii="Times New Roman" w:hAnsi="Times New Roman" w:eastAsia="Microsoft JhengHei"/>
          <w:sz w:val="20"/>
          <w:szCs w:val="20"/>
        </w:rPr>
        <w:t>"); or</w:t>
      </w:r>
    </w:p>
    <w:p w:rsidRPr="00D861A3" w:rsidR="001B09A9" w:rsidP="00DB215D" w:rsidRDefault="001B09A9" w14:paraId="16FB64AB" w14:textId="77777777">
      <w:pPr>
        <w:numPr>
          <w:ilvl w:val="2"/>
          <w:numId w:val="44"/>
        </w:numPr>
        <w:tabs>
          <w:tab w:val="clear" w:pos="709"/>
          <w:tab w:val="num" w:pos="1069"/>
        </w:tabs>
        <w:suppressAutoHyphens/>
        <w:spacing w:after="200" w:line="240" w:lineRule="auto"/>
        <w:ind w:left="1069"/>
        <w:jc w:val="left"/>
        <w:outlineLvl w:val="2"/>
        <w:rPr>
          <w:rFonts w:ascii="Times New Roman" w:hAnsi="Times New Roman" w:eastAsia="Microsoft JhengHei"/>
          <w:sz w:val="20"/>
          <w:szCs w:val="20"/>
        </w:rPr>
      </w:pPr>
      <w:r w:rsidRPr="00D861A3">
        <w:rPr>
          <w:rFonts w:ascii="Times New Roman" w:hAnsi="Times New Roman" w:eastAsia="Microsoft JhengHei"/>
          <w:sz w:val="20"/>
          <w:szCs w:val="20"/>
        </w:rPr>
        <w:t>in the case of any Securities being offered, sold, distributed or otherwise made available on or after the day on which the revocation of Regulation (EU) No 1286/2014 as it forms part of UK domestic law by virtue of the EUWA (as amended, the "</w:t>
      </w:r>
      <w:r w:rsidRPr="00D861A3">
        <w:rPr>
          <w:rFonts w:ascii="Times New Roman" w:hAnsi="Times New Roman" w:eastAsia="Microsoft JhengHei"/>
          <w:b/>
          <w:bCs/>
          <w:sz w:val="20"/>
          <w:szCs w:val="20"/>
        </w:rPr>
        <w:t>UK PRIIPs Regulation</w:t>
      </w:r>
      <w:r w:rsidRPr="00D861A3">
        <w:rPr>
          <w:rFonts w:ascii="Times New Roman" w:hAnsi="Times New Roman" w:eastAsia="Microsoft JhengHei"/>
          <w:sz w:val="20"/>
          <w:szCs w:val="20"/>
        </w:rPr>
        <w:t>") comes into force, a person who is either (or both) of the following:</w:t>
      </w:r>
    </w:p>
    <w:p w:rsidRPr="00D861A3" w:rsidR="001B09A9" w:rsidP="00DB215D" w:rsidRDefault="001B09A9" w14:paraId="4551AC2B" w14:textId="77777777">
      <w:pPr>
        <w:numPr>
          <w:ilvl w:val="3"/>
          <w:numId w:val="44"/>
        </w:numPr>
        <w:tabs>
          <w:tab w:val="clear" w:pos="1276"/>
          <w:tab w:val="num" w:pos="1636"/>
        </w:tabs>
        <w:suppressAutoHyphens/>
        <w:spacing w:after="200" w:line="240" w:lineRule="auto"/>
        <w:ind w:left="1636"/>
        <w:jc w:val="left"/>
        <w:outlineLvl w:val="3"/>
        <w:rPr>
          <w:rFonts w:ascii="Times New Roman" w:hAnsi="Times New Roman" w:eastAsia="Microsoft JhengHei"/>
          <w:sz w:val="20"/>
          <w:szCs w:val="20"/>
        </w:rPr>
      </w:pPr>
      <w:r w:rsidRPr="00D861A3">
        <w:rPr>
          <w:rFonts w:ascii="Times New Roman" w:hAnsi="Times New Roman" w:eastAsia="Microsoft JhengHei"/>
          <w:sz w:val="20"/>
          <w:szCs w:val="20"/>
        </w:rPr>
        <w:t>a retail investor as defined in the product disclosure rules  made by the Financial Conduct Authority ("</w:t>
      </w:r>
      <w:r w:rsidRPr="00D861A3">
        <w:rPr>
          <w:rFonts w:ascii="Times New Roman" w:hAnsi="Times New Roman" w:eastAsia="Microsoft JhengHei"/>
          <w:b/>
          <w:bCs/>
          <w:sz w:val="20"/>
          <w:szCs w:val="20"/>
        </w:rPr>
        <w:t>FCA</w:t>
      </w:r>
      <w:r w:rsidRPr="00D861A3">
        <w:rPr>
          <w:rFonts w:ascii="Times New Roman" w:hAnsi="Times New Roman" w:eastAsia="Microsoft JhengHei"/>
          <w:sz w:val="20"/>
          <w:szCs w:val="20"/>
        </w:rPr>
        <w:t>") under the Consumer Composite Investments (Designated Activities) Regulations 2024 (the "</w:t>
      </w:r>
      <w:r w:rsidRPr="00D861A3">
        <w:rPr>
          <w:rFonts w:ascii="Times New Roman" w:hAnsi="Times New Roman" w:eastAsia="Microsoft JhengHei"/>
          <w:b/>
          <w:bCs/>
          <w:sz w:val="20"/>
          <w:szCs w:val="20"/>
        </w:rPr>
        <w:t>CCI Regulations</w:t>
      </w:r>
      <w:r w:rsidRPr="00D861A3">
        <w:rPr>
          <w:rFonts w:ascii="Times New Roman" w:hAnsi="Times New Roman" w:eastAsia="Microsoft JhengHei"/>
          <w:sz w:val="20"/>
          <w:szCs w:val="20"/>
        </w:rPr>
        <w:t>"); or</w:t>
      </w:r>
    </w:p>
    <w:p w:rsidRPr="00D861A3" w:rsidR="001B09A9" w:rsidP="00DB215D" w:rsidRDefault="001B09A9" w14:paraId="6946C25D" w14:textId="77777777">
      <w:pPr>
        <w:numPr>
          <w:ilvl w:val="3"/>
          <w:numId w:val="44"/>
        </w:numPr>
        <w:tabs>
          <w:tab w:val="clear" w:pos="1276"/>
          <w:tab w:val="num" w:pos="1636"/>
        </w:tabs>
        <w:suppressAutoHyphens/>
        <w:spacing w:after="200" w:line="240" w:lineRule="auto"/>
        <w:ind w:left="1636"/>
        <w:jc w:val="left"/>
        <w:outlineLvl w:val="3"/>
        <w:rPr>
          <w:rFonts w:ascii="Times New Roman" w:hAnsi="Times New Roman" w:eastAsia="Microsoft JhengHei"/>
          <w:sz w:val="20"/>
          <w:szCs w:val="20"/>
        </w:rPr>
      </w:pPr>
      <w:r w:rsidRPr="00D861A3">
        <w:rPr>
          <w:rFonts w:ascii="Times New Roman" w:hAnsi="Times New Roman" w:eastAsia="Microsoft JhengHei"/>
          <w:sz w:val="20"/>
          <w:szCs w:val="20"/>
        </w:rPr>
        <w:t>not a qualified investor as defined in paragraph 15 of Schedule 1 to the POATRs.</w:t>
      </w:r>
    </w:p>
    <w:p w:rsidRPr="00D861A3" w:rsidR="007356D3" w:rsidP="001B09A9" w:rsidRDefault="001B09A9" w14:paraId="33D04B52" w14:textId="68BE6AED">
      <w:pPr>
        <w:suppressAutoHyphens/>
        <w:spacing w:after="200" w:line="240" w:lineRule="auto"/>
        <w:ind w:left="360"/>
        <w:rPr>
          <w:rFonts w:ascii="Times New Roman" w:hAnsi="Times New Roman" w:eastAsia="Microsoft JhengHei"/>
          <w:sz w:val="20"/>
          <w:szCs w:val="20"/>
        </w:rPr>
      </w:pPr>
      <w:r w:rsidRPr="00D861A3">
        <w:rPr>
          <w:rFonts w:ascii="Times New Roman" w:hAnsi="Times New Roman" w:eastAsia="Microsoft JhengHei"/>
          <w:sz w:val="20"/>
          <w:szCs w:val="20"/>
        </w:rPr>
        <w:t>Consequently, no key information document required by the UK PRIIPs Regulation or product summary as required by the product disclosure rules made by the FCA under the CCI Regulations, for offering, selling or distributing the Securities or otherwise making them available to retail investors in the United Kingdom has been prepared and therefore offering, selling or distributing the Securities or otherwise making them available to any retail investor in the United Kingdom may be unlawful under the UK PRIIPs Regulation or the product disclosure rules made by the FCA under the CCI Regulations. Notwithstanding the above, if the Dealer subsequently prepares and publishes either a key information document under the UK PRIIPs Regulation or a product summary as required by the product disclosure rules made by the FCA under the CCI Regulations in respect of the Securities, then the prohibition on the offering, sale, distribution or otherwise making available the Securities to a retail investor in the United Kingdom as described above shall no longer apply.]"</w:t>
      </w:r>
    </w:p>
    <w:p w:rsidRPr="00D861A3" w:rsidR="007356D3" w:rsidP="00DB215D" w:rsidRDefault="007356D3" w14:paraId="58E65D02" w14:textId="4711935A">
      <w:pPr>
        <w:pStyle w:val="NormalOCAshurst"/>
        <w:numPr>
          <w:ilvl w:val="0"/>
          <w:numId w:val="46"/>
        </w:numPr>
        <w:rPr>
          <w:b/>
          <w:bCs/>
        </w:rPr>
      </w:pPr>
      <w:bookmarkStart w:name="_Hlk219217397" w:id="12"/>
      <w:r w:rsidRPr="00D861A3">
        <w:rPr>
          <w:b/>
          <w:bCs/>
        </w:rPr>
        <w:t xml:space="preserve">Amendments to </w:t>
      </w:r>
      <w:r w:rsidRPr="00D861A3" w:rsidR="00DC3F93">
        <w:rPr>
          <w:b/>
          <w:bCs/>
        </w:rPr>
        <w:t>the Form of Pricing Supplement</w:t>
      </w:r>
    </w:p>
    <w:p w:rsidRPr="00D861A3" w:rsidR="007356D3" w:rsidP="007356D3" w:rsidRDefault="001B7346" w14:paraId="188AF5DD" w14:textId="3BA68386">
      <w:pPr>
        <w:pStyle w:val="NormalOCAshurst"/>
        <w:ind w:left="360"/>
      </w:pPr>
      <w:bookmarkStart w:name="_Hlk219208327" w:id="13"/>
      <w:r w:rsidRPr="00D861A3">
        <w:t>S</w:t>
      </w:r>
      <w:r w:rsidRPr="00D861A3" w:rsidR="00DC3F93">
        <w:t>ub-p</w:t>
      </w:r>
      <w:r w:rsidRPr="00D861A3" w:rsidR="007356D3">
        <w:t xml:space="preserve">aragraph </w:t>
      </w:r>
      <w:r w:rsidRPr="00D861A3" w:rsidR="00DC3F93">
        <w:t xml:space="preserve">(b) </w:t>
      </w:r>
      <w:r w:rsidRPr="00D861A3" w:rsidR="007356D3">
        <w:t>beginning</w:t>
      </w:r>
      <w:r w:rsidRPr="00D861A3">
        <w:t xml:space="preserve"> with</w:t>
      </w:r>
      <w:r w:rsidRPr="00D861A3" w:rsidR="007356D3">
        <w:t xml:space="preserve"> </w:t>
      </w:r>
      <w:bookmarkEnd w:id="13"/>
      <w:r w:rsidRPr="00D861A3" w:rsidR="007356D3">
        <w:t>"</w:t>
      </w:r>
      <w:r w:rsidRPr="00D861A3" w:rsidR="00DC3F93">
        <w:t>any offer of Securities in the United Kingdom will be</w:t>
      </w:r>
      <w:r w:rsidRPr="00D861A3" w:rsidR="007356D3">
        <w:t xml:space="preserve">…" on page </w:t>
      </w:r>
      <w:r w:rsidRPr="00D861A3" w:rsidR="00DC3F93">
        <w:t>533</w:t>
      </w:r>
      <w:r w:rsidRPr="00D861A3" w:rsidR="007356D3">
        <w:t xml:space="preserve"> of the Original </w:t>
      </w:r>
      <w:r w:rsidRPr="00D861A3" w:rsidR="00016F5E">
        <w:rPr>
          <w:rFonts w:eastAsia="Microsoft JhengHei"/>
        </w:rPr>
        <w:t xml:space="preserve">Offering Circular </w:t>
      </w:r>
      <w:r w:rsidRPr="00D861A3" w:rsidR="007356D3">
        <w:t>shall be deleted in its entirety and replaced with the following:</w:t>
      </w:r>
    </w:p>
    <w:bookmarkEnd w:id="12"/>
    <w:p w:rsidRPr="00D861A3" w:rsidR="007356D3" w:rsidP="002C78CB" w:rsidRDefault="007356D3" w14:paraId="319A8277" w14:textId="6075CD57">
      <w:pPr>
        <w:pStyle w:val="NormalOCAshurst"/>
        <w:ind w:left="360"/>
        <w:rPr>
          <w:rFonts w:eastAsiaTheme="minorEastAsia"/>
          <w:lang w:eastAsia="zh-TW"/>
        </w:rPr>
      </w:pPr>
      <w:r w:rsidRPr="00D861A3">
        <w:t>"</w:t>
      </w:r>
      <w:r w:rsidRPr="00D861A3" w:rsidR="00DC3F93">
        <w:t>any offer of Securities in the United Kingdom will be one or more of the kinds of offer specified in Part 1 of Schedule 1 to the [POATRs]/[Public Offers and Admissions to Trading Regulations 2024 (the "</w:t>
      </w:r>
      <w:r w:rsidRPr="00D861A3" w:rsidR="00DC3F93">
        <w:rPr>
          <w:b/>
          <w:bCs/>
        </w:rPr>
        <w:t>POATRs</w:t>
      </w:r>
      <w:r w:rsidRPr="00D861A3" w:rsidR="00DC3F93">
        <w:t>")]. Accordingly any person making or intending to make an offer in the United Kingdom of the Securities may only do so where the offer is one or more of the kinds of offer specified in Part 1 of Schedule 1 to the POATRs."</w:t>
      </w:r>
      <w:r w:rsidRPr="00D861A3">
        <w:br w:type="page"/>
      </w:r>
    </w:p>
    <w:p w:rsidRPr="00D861A3" w:rsidR="007356D3" w:rsidP="007356D3" w:rsidRDefault="007356D3" w14:paraId="6BCF26A5" w14:textId="46FBEB40">
      <w:pPr>
        <w:pStyle w:val="NormalOCAshurst"/>
        <w:jc w:val="center"/>
        <w:rPr>
          <w:b/>
          <w:bCs/>
        </w:rPr>
      </w:pPr>
      <w:bookmarkStart w:name="_Hlk219208603" w:id="14"/>
      <w:bookmarkStart w:name="_Hlk219218355" w:id="15"/>
      <w:r w:rsidRPr="00D861A3">
        <w:rPr>
          <w:b/>
          <w:bCs/>
        </w:rPr>
        <w:t>SCHEDULE 7</w:t>
      </w:r>
    </w:p>
    <w:p w:rsidRPr="00D861A3" w:rsidR="007356D3" w:rsidP="007356D3" w:rsidRDefault="007356D3" w14:paraId="050A81B4" w14:textId="77777777">
      <w:pPr>
        <w:pStyle w:val="NormalOCAshurst"/>
        <w:jc w:val="center"/>
        <w:rPr>
          <w:b/>
          <w:bCs/>
        </w:rPr>
      </w:pPr>
      <w:r w:rsidRPr="00D861A3">
        <w:rPr>
          <w:b/>
          <w:bCs/>
        </w:rPr>
        <w:t>SUBSCRIPTION AND SALE</w:t>
      </w:r>
    </w:p>
    <w:p w:rsidRPr="00D861A3" w:rsidR="007356D3" w:rsidP="00DB215D" w:rsidRDefault="007356D3" w14:paraId="7F1E904F" w14:textId="77777777">
      <w:pPr>
        <w:pStyle w:val="NormalOCAshurst"/>
        <w:numPr>
          <w:ilvl w:val="0"/>
          <w:numId w:val="47"/>
        </w:numPr>
        <w:rPr>
          <w:b/>
          <w:bCs/>
        </w:rPr>
      </w:pPr>
      <w:bookmarkStart w:name="_Hlk219195478" w:id="16"/>
      <w:r w:rsidRPr="00D861A3">
        <w:rPr>
          <w:b/>
          <w:bCs/>
        </w:rPr>
        <w:t>Amendments to the section entitled United Kingdom</w:t>
      </w:r>
    </w:p>
    <w:p w:rsidRPr="00D861A3" w:rsidR="007356D3" w:rsidP="007356D3" w:rsidRDefault="007356D3" w14:paraId="52931033" w14:textId="756FB7AA">
      <w:pPr>
        <w:pStyle w:val="NormalOCAshurst"/>
        <w:ind w:left="360"/>
      </w:pPr>
      <w:r w:rsidRPr="00D861A3">
        <w:t xml:space="preserve">The section entitled "United Kingdom" on pages </w:t>
      </w:r>
      <w:r w:rsidRPr="00D861A3" w:rsidR="00EE7F5B">
        <w:t>645</w:t>
      </w:r>
      <w:r w:rsidRPr="00D861A3">
        <w:t xml:space="preserve"> to </w:t>
      </w:r>
      <w:r w:rsidRPr="00D861A3" w:rsidR="00EE7F5B">
        <w:t>64</w:t>
      </w:r>
      <w:r w:rsidRPr="00D861A3" w:rsidR="002C78CB">
        <w:t>7</w:t>
      </w:r>
      <w:r w:rsidRPr="00D861A3">
        <w:t xml:space="preserve"> of the Original </w:t>
      </w:r>
      <w:r w:rsidRPr="00D861A3" w:rsidR="00016F5E">
        <w:rPr>
          <w:rFonts w:eastAsia="Microsoft JhengHei"/>
        </w:rPr>
        <w:t xml:space="preserve">Offering Circular </w:t>
      </w:r>
      <w:r w:rsidRPr="00D861A3">
        <w:t>shall be deleted in its entirety and replaced with the following:</w:t>
      </w:r>
    </w:p>
    <w:bookmarkEnd w:id="14"/>
    <w:bookmarkEnd w:id="16"/>
    <w:p w:rsidRPr="00D861A3" w:rsidR="00EE7F5B" w:rsidP="00EE7F5B" w:rsidRDefault="007356D3" w14:paraId="25292B63" w14:textId="2875686D">
      <w:pPr>
        <w:pStyle w:val="NormalOCAshurst"/>
        <w:ind w:left="360"/>
        <w:rPr>
          <w:rFonts w:eastAsia="Microsoft JhengHei"/>
          <w:b/>
        </w:rPr>
      </w:pPr>
      <w:r w:rsidRPr="00D861A3">
        <w:rPr>
          <w:szCs w:val="18"/>
        </w:rPr>
        <w:t>"</w:t>
      </w:r>
      <w:r w:rsidRPr="00D861A3" w:rsidR="00EE7F5B">
        <w:rPr>
          <w:rFonts w:eastAsia="Microsoft JhengHei"/>
          <w:b/>
        </w:rPr>
        <w:t>United Kingdom</w:t>
      </w:r>
    </w:p>
    <w:bookmarkEnd w:id="15"/>
    <w:p w:rsidRPr="00D861A3" w:rsidR="002C78CB" w:rsidP="002C78CB" w:rsidRDefault="002C78CB" w14:paraId="7A1A3BE7" w14:textId="77777777">
      <w:pPr>
        <w:pStyle w:val="NormalOCAshurst"/>
        <w:ind w:left="360"/>
      </w:pPr>
      <w:r w:rsidRPr="00D861A3">
        <w:t>If the Pricing Supplement in respect of any Securities specifies the "Prohibition of Sales to UK Retail Investors" to be "Not Applicable", each Dealer has represented and agreed, and each further Dealer appointed under the Programme will be required to represent and agree, that it has not made and will not make an offer of Securities which are the subject of the offering contemplated by this Offering Circular as completed by the Pricing Supplement in relation thereto to the public in the United Kingdom except that it may make an offer of such Securities to the public in the United Kingdom:</w:t>
      </w:r>
    </w:p>
    <w:p w:rsidRPr="00D861A3" w:rsidR="002C78CB" w:rsidP="002C78CB" w:rsidRDefault="002C78CB" w14:paraId="5B78F6CA" w14:textId="77777777">
      <w:pPr>
        <w:pStyle w:val="AltH3OCAshurst"/>
        <w:numPr>
          <w:ilvl w:val="2"/>
          <w:numId w:val="50"/>
        </w:numPr>
        <w:tabs>
          <w:tab w:val="clear" w:pos="709"/>
          <w:tab w:val="clear" w:pos="2160"/>
          <w:tab w:val="num" w:pos="1069"/>
        </w:tabs>
        <w:ind w:left="1069"/>
      </w:pPr>
      <w:r w:rsidRPr="00D861A3">
        <w:t>to any legal entity which is a qualified investor as defined in paragraph 15 of Schedule 1 to the POATRs;</w:t>
      </w:r>
    </w:p>
    <w:p w:rsidRPr="00D861A3" w:rsidR="002C78CB" w:rsidP="002C78CB" w:rsidRDefault="002C78CB" w14:paraId="4AA0968C" w14:textId="77777777">
      <w:pPr>
        <w:pStyle w:val="AltH3OCAshurst"/>
        <w:tabs>
          <w:tab w:val="clear" w:pos="709"/>
          <w:tab w:val="clear" w:pos="2160"/>
          <w:tab w:val="num" w:pos="1069"/>
        </w:tabs>
        <w:ind w:left="1069"/>
      </w:pPr>
      <w:r w:rsidRPr="00D861A3">
        <w:t>to fewer than 150 natural or legal persons (other than qualified investors as defined in paragraph 15 of Schedule 1 to the POATRs), subject to obtaining the prior consent of the relevant Dealer or Dealers nominated by the Issuer for any such offer; or</w:t>
      </w:r>
    </w:p>
    <w:p w:rsidRPr="00D861A3" w:rsidR="002C78CB" w:rsidP="002C78CB" w:rsidRDefault="002C78CB" w14:paraId="0DBC59AC" w14:textId="77777777">
      <w:pPr>
        <w:pStyle w:val="AltH3OCAshurst"/>
        <w:tabs>
          <w:tab w:val="clear" w:pos="709"/>
          <w:tab w:val="clear" w:pos="2160"/>
          <w:tab w:val="num" w:pos="1069"/>
        </w:tabs>
        <w:ind w:left="1069"/>
      </w:pPr>
      <w:r w:rsidRPr="00D861A3">
        <w:t>in any other circumstances falling within Part 1 of Schedule 1 to the POATRs.</w:t>
      </w:r>
    </w:p>
    <w:p w:rsidRPr="00D861A3" w:rsidR="002C78CB" w:rsidP="002C78CB" w:rsidRDefault="002C78CB" w14:paraId="0DC8C2AD" w14:textId="6751F2EE">
      <w:pPr>
        <w:pStyle w:val="NormalOCAshurst"/>
        <w:ind w:left="360"/>
      </w:pPr>
      <w:r w:rsidRPr="00D861A3">
        <w:t>For the purposes of this provision, the expression "</w:t>
      </w:r>
      <w:r w:rsidRPr="00D861A3">
        <w:rPr>
          <w:b/>
          <w:bCs/>
        </w:rPr>
        <w:t>an offer of Securities to the public</w:t>
      </w:r>
      <w:r w:rsidRPr="00D861A3">
        <w:t>" in relation to any Securities in the United Kingdom means the communication in any form and by any means of sufficient information on the terms of the offer and the Securities to be offered so as to enable an investor to decide to buy or subscribe for the Securities.</w:t>
      </w:r>
    </w:p>
    <w:p w:rsidRPr="00D861A3" w:rsidR="002C78CB" w:rsidP="002C78CB" w:rsidRDefault="002C78CB" w14:paraId="69E11A3F" w14:textId="60FFFBB7">
      <w:pPr>
        <w:pStyle w:val="NormalOCAshurst"/>
        <w:ind w:left="360"/>
      </w:pPr>
      <w:r w:rsidRPr="00D861A3">
        <w:t>Each Dealer has represented and agreed, and each further Dealer appointed under the Programme will be required to represent and agree, that any commission, fee or non-monetary benefit received from the relevant Issuer complies with the applicable rules set out in the Markets in Financial Instruments Directive (Directive 2014/65/EU, as amended, "</w:t>
      </w:r>
      <w:r w:rsidRPr="00D861A3">
        <w:rPr>
          <w:b/>
          <w:bCs/>
        </w:rPr>
        <w:t>MiFID II</w:t>
      </w:r>
      <w:r w:rsidRPr="00D861A3">
        <w:t>") as implemented under UK law, such implementing legislation being preserved under UK law by virtue of the European Union (Withdrawal) Act 2018 (as amended, the "</w:t>
      </w:r>
      <w:r w:rsidRPr="00D861A3">
        <w:rPr>
          <w:b/>
          <w:bCs/>
        </w:rPr>
        <w:t>EUWA</w:t>
      </w:r>
      <w:r w:rsidRPr="00D861A3">
        <w:t>").</w:t>
      </w:r>
    </w:p>
    <w:p w:rsidRPr="00D861A3" w:rsidR="002C78CB" w:rsidP="002C78CB" w:rsidRDefault="002C78CB" w14:paraId="7BB8D3F3" w14:textId="77777777">
      <w:pPr>
        <w:pStyle w:val="NormalOCAshurst"/>
        <w:ind w:left="360"/>
      </w:pPr>
      <w:r w:rsidRPr="00D861A3">
        <w:t>Each Dealer has represented and agreed, and each further Dealer appointed under the Programme will be required to represent and agree, that:</w:t>
      </w:r>
    </w:p>
    <w:p w:rsidRPr="00D861A3" w:rsidR="002C78CB" w:rsidP="002C78CB" w:rsidRDefault="002C78CB" w14:paraId="7CA81526" w14:textId="77777777">
      <w:pPr>
        <w:pStyle w:val="AltH3OCAshurst"/>
        <w:numPr>
          <w:ilvl w:val="2"/>
          <w:numId w:val="58"/>
        </w:numPr>
        <w:tabs>
          <w:tab w:val="clear" w:pos="709"/>
          <w:tab w:val="clear" w:pos="2160"/>
          <w:tab w:val="num" w:pos="1069"/>
        </w:tabs>
        <w:ind w:left="993"/>
      </w:pPr>
      <w:r w:rsidRPr="00D861A3">
        <w:t>Securities with maturities of less than one year: in relation to any Securities (other than Securities issued by JPMorgan Chase Bank, N.A.) where the issue of the Securities would otherwise constitute a contravention of section 19 of the FSMA by the Issuer:</w:t>
      </w:r>
    </w:p>
    <w:p w:rsidRPr="00D861A3" w:rsidR="002C78CB" w:rsidP="002C78CB" w:rsidRDefault="002C78CB" w14:paraId="57404704" w14:textId="77777777">
      <w:pPr>
        <w:pStyle w:val="AltH4OCAshurst"/>
        <w:tabs>
          <w:tab w:val="clear" w:pos="2030"/>
          <w:tab w:val="clear" w:pos="2880"/>
          <w:tab w:val="num" w:pos="1636"/>
        </w:tabs>
        <w:ind w:left="1636" w:hanging="567"/>
      </w:pPr>
      <w:r w:rsidRPr="00D861A3">
        <w:t>it is a person whose ordinary activities involve it in acquiring, holding, managing or disposing of investments (as principal or agent) for the purposes of its business; and</w:t>
      </w:r>
    </w:p>
    <w:p w:rsidRPr="00D861A3" w:rsidR="002C78CB" w:rsidP="002C78CB" w:rsidRDefault="002C78CB" w14:paraId="57F15A2A" w14:textId="77777777">
      <w:pPr>
        <w:pStyle w:val="AltH4OCAshurst"/>
        <w:tabs>
          <w:tab w:val="clear" w:pos="2030"/>
          <w:tab w:val="clear" w:pos="2880"/>
          <w:tab w:val="num" w:pos="1636"/>
        </w:tabs>
        <w:ind w:left="1636" w:hanging="567"/>
      </w:pPr>
      <w:r w:rsidRPr="00D861A3">
        <w:t>it has not offered or sold and will not offer or sell any Securities other than to persons whose ordinary activities involve them in acquiring, holding, managing or disposing of investments (as principal or as agent) for the purposes of their businesses or who it is reasonable to expect will acquire, hold, manage or dispose of investments (as principal or agent) for the purposes of their businesses;</w:t>
      </w:r>
    </w:p>
    <w:p w:rsidRPr="00D861A3" w:rsidR="002C78CB" w:rsidP="002C78CB" w:rsidRDefault="002C78CB" w14:paraId="611CE4CF" w14:textId="77777777">
      <w:pPr>
        <w:pStyle w:val="AltH3OCAshurst"/>
        <w:tabs>
          <w:tab w:val="clear" w:pos="709"/>
          <w:tab w:val="clear" w:pos="2160"/>
          <w:tab w:val="num" w:pos="1069"/>
        </w:tabs>
        <w:ind w:left="1069"/>
      </w:pPr>
      <w:r w:rsidRPr="00D861A3">
        <w:rPr>
          <w:i/>
        </w:rPr>
        <w:t>Financial promotion</w:t>
      </w:r>
      <w:r w:rsidRPr="00D861A3">
        <w:t>: it has only communicated or caused to be communicated and will only communicate or cause to be communicated an invitation or inducement to engage in investment activity (within the meaning of section 21 of the FSMA) received by it in connection with the issue or sale of any Securities in circumstances in which section 21(1) of the FSMA does not apply to JPMCFC, JPMSP or JPMorgan Chase &amp; Co. (as Issuer or as Guarantor in respect of Securities issued by JPMCFC), and would not, if it was not an authorised person, apply to JPMorgan Chase Bank, N.A. (as Issuer or as Guarantor in respect of Securities issued by JPMSP);</w:t>
      </w:r>
    </w:p>
    <w:p w:rsidRPr="00D861A3" w:rsidR="002C78CB" w:rsidP="002C78CB" w:rsidRDefault="002C78CB" w14:paraId="2C82B417" w14:textId="77777777">
      <w:pPr>
        <w:pStyle w:val="AltH3OCAshurst"/>
        <w:tabs>
          <w:tab w:val="clear" w:pos="709"/>
          <w:tab w:val="clear" w:pos="2160"/>
          <w:tab w:val="num" w:pos="1069"/>
        </w:tabs>
        <w:ind w:left="1069"/>
      </w:pPr>
      <w:r w:rsidRPr="00D861A3">
        <w:rPr>
          <w:i/>
        </w:rPr>
        <w:t>General compliance</w:t>
      </w:r>
      <w:r w:rsidRPr="00D861A3">
        <w:t>: it has complied and will comply with all applicable provisions of the FSMA and the Financial Conduct Authority Handbook with respect to anything done by it in relation to any Securities in, from or otherwise involving the United Kingdom; and</w:t>
      </w:r>
    </w:p>
    <w:p w:rsidRPr="00D861A3" w:rsidR="002C78CB" w:rsidP="002C78CB" w:rsidRDefault="002C78CB" w14:paraId="2D43967F" w14:textId="77777777">
      <w:pPr>
        <w:pStyle w:val="AltH3OCAshurst"/>
        <w:tabs>
          <w:tab w:val="clear" w:pos="709"/>
          <w:tab w:val="clear" w:pos="2160"/>
          <w:tab w:val="num" w:pos="1069"/>
        </w:tabs>
        <w:ind w:left="1069"/>
      </w:pPr>
      <w:r w:rsidRPr="00D861A3">
        <w:rPr>
          <w:i/>
        </w:rPr>
        <w:t>Commissions and fees</w:t>
      </w:r>
      <w:r w:rsidRPr="00D861A3">
        <w:t>:</w:t>
      </w:r>
    </w:p>
    <w:p w:rsidRPr="00D861A3" w:rsidR="002C78CB" w:rsidP="002C78CB" w:rsidRDefault="002C78CB" w14:paraId="14F14C33" w14:textId="77777777">
      <w:pPr>
        <w:pStyle w:val="AltH4OCAshurst"/>
        <w:tabs>
          <w:tab w:val="clear" w:pos="2030"/>
          <w:tab w:val="clear" w:pos="2880"/>
          <w:tab w:val="num" w:pos="1636"/>
        </w:tabs>
        <w:ind w:left="1636" w:hanging="567"/>
      </w:pPr>
      <w:r w:rsidRPr="00D861A3">
        <w:t>if it is distributing Securities that are "retail investment products" (as such term is defined in the Financial Conduct Authority Handbook) into the United Kingdom and it is entitled to receive any commission or fee from the Issuer, it will not transfer any part of that commission or fee to any third party who may advise retail investors to purchase a Security that is a retail investment product; and</w:t>
      </w:r>
    </w:p>
    <w:p w:rsidRPr="00D861A3" w:rsidR="002C78CB" w:rsidP="002C78CB" w:rsidRDefault="002C78CB" w14:paraId="0804EDA3" w14:textId="77777777">
      <w:pPr>
        <w:pStyle w:val="AltH4OCAshurst"/>
        <w:tabs>
          <w:tab w:val="clear" w:pos="2030"/>
          <w:tab w:val="clear" w:pos="2880"/>
          <w:tab w:val="num" w:pos="1636"/>
        </w:tabs>
        <w:ind w:left="1636" w:hanging="567"/>
      </w:pPr>
      <w:r w:rsidRPr="00D861A3">
        <w:t>if it is authorised and regulated by the Financial Conduct Authority to provide investment advice to retail investors in the United Kingdom and it is providing advice to retail investors in respect of a Security that is a retail investment product, it undertakes not to request any commission or fee from the Issuer and to otherwise reject any such payment offered to it other than in circumstances where the Issuer has agreed to facilitate the payment of an advisory fee and has the express consent of the retail investor to do so.</w:t>
      </w:r>
    </w:p>
    <w:p w:rsidRPr="00D861A3" w:rsidR="002C78CB" w:rsidP="002C78CB" w:rsidRDefault="002C78CB" w14:paraId="401D4707" w14:textId="77777777">
      <w:pPr>
        <w:pStyle w:val="NormalOCAshurst"/>
        <w:ind w:left="360"/>
        <w:rPr>
          <w:bCs/>
        </w:rPr>
      </w:pPr>
      <w:r w:rsidRPr="00D861A3">
        <w:rPr>
          <w:b/>
          <w:i/>
          <w:iCs/>
        </w:rPr>
        <w:t>Prohibition of Sales to UK Retail Investors</w:t>
      </w:r>
    </w:p>
    <w:p w:rsidRPr="00D861A3" w:rsidR="002C78CB" w:rsidP="002C78CB" w:rsidRDefault="002C78CB" w14:paraId="3E3AB5F4" w14:textId="77777777">
      <w:pPr>
        <w:pStyle w:val="NormalOCAshurst"/>
        <w:ind w:left="360"/>
        <w:rPr>
          <w:bCs/>
        </w:rPr>
      </w:pPr>
      <w:r w:rsidRPr="00D861A3">
        <w:rPr>
          <w:bCs/>
        </w:rPr>
        <w:t>Unless the Pricing Supplement in respect of any Securities specifies the "Prohibition of Sales to UK Retail Investors" to be "Not Applicable", each Dealer has represented and agreed, and each further Dealer appointed under the Programme will be required to represent and agree, that it has not offered, sold, distributed or otherwise made available and will not offer, sell, distribute or otherwise make available any Securities which are the subject of the offering contemplated by the Offering Circular as completed by the Pricing Supplement in relation thereto to any retail investor in the United Kingdom. For the purposes of this provision:</w:t>
      </w:r>
    </w:p>
    <w:p w:rsidRPr="00D861A3" w:rsidR="002C78CB" w:rsidP="002C78CB" w:rsidRDefault="002C78CB" w14:paraId="6D632662" w14:textId="77777777">
      <w:pPr>
        <w:pStyle w:val="AltH3OCAshurst"/>
        <w:numPr>
          <w:ilvl w:val="2"/>
          <w:numId w:val="57"/>
        </w:numPr>
        <w:tabs>
          <w:tab w:val="clear" w:pos="709"/>
          <w:tab w:val="clear" w:pos="2160"/>
          <w:tab w:val="num" w:pos="1069"/>
        </w:tabs>
        <w:ind w:left="993"/>
      </w:pPr>
      <w:r w:rsidRPr="00D861A3">
        <w:t>the expression "retail investor" means:</w:t>
      </w:r>
    </w:p>
    <w:p w:rsidRPr="00D861A3" w:rsidR="002C78CB" w:rsidP="002C78CB" w:rsidRDefault="002C78CB" w14:paraId="0FC46827" w14:textId="77777777">
      <w:pPr>
        <w:pStyle w:val="AltH4OCAshurst"/>
        <w:numPr>
          <w:ilvl w:val="3"/>
          <w:numId w:val="44"/>
        </w:numPr>
        <w:tabs>
          <w:tab w:val="clear" w:pos="1276"/>
          <w:tab w:val="clear" w:pos="2880"/>
          <w:tab w:val="num" w:pos="1636"/>
        </w:tabs>
        <w:ind w:left="1636"/>
      </w:pPr>
      <w:r w:rsidRPr="00D861A3">
        <w:t>a person who is neither:</w:t>
      </w:r>
    </w:p>
    <w:p w:rsidRPr="00D861A3" w:rsidR="002C78CB" w:rsidP="002C78CB" w:rsidRDefault="002C78CB" w14:paraId="7CDC5F08" w14:textId="77777777">
      <w:pPr>
        <w:pStyle w:val="AltH5OCAshurst"/>
        <w:numPr>
          <w:ilvl w:val="4"/>
          <w:numId w:val="44"/>
        </w:numPr>
        <w:tabs>
          <w:tab w:val="clear" w:pos="1843"/>
          <w:tab w:val="clear" w:pos="3600"/>
          <w:tab w:val="num" w:pos="2203"/>
        </w:tabs>
        <w:ind w:left="2203"/>
      </w:pPr>
      <w:r w:rsidRPr="00D861A3">
        <w:t>a professional client, as defined in point (8) of Article 2(1) of Regulation (EU) No 600/2014 as it forms part of UK domestic law by virtue of the European Union (Withdrawal) Act 2018 (as amended, the "</w:t>
      </w:r>
      <w:r w:rsidRPr="00D861A3">
        <w:rPr>
          <w:b/>
          <w:bCs/>
        </w:rPr>
        <w:t>EUWA</w:t>
      </w:r>
      <w:r w:rsidRPr="00D861A3">
        <w:t>"); nor</w:t>
      </w:r>
    </w:p>
    <w:p w:rsidRPr="00D861A3" w:rsidR="002C78CB" w:rsidP="002C78CB" w:rsidRDefault="002C78CB" w14:paraId="2D369EF5" w14:textId="77777777">
      <w:pPr>
        <w:pStyle w:val="AltH5OCAshurst"/>
        <w:numPr>
          <w:ilvl w:val="4"/>
          <w:numId w:val="44"/>
        </w:numPr>
        <w:tabs>
          <w:tab w:val="clear" w:pos="1843"/>
          <w:tab w:val="clear" w:pos="3600"/>
          <w:tab w:val="num" w:pos="2203"/>
        </w:tabs>
        <w:ind w:left="2203"/>
      </w:pPr>
      <w:r w:rsidRPr="00D861A3">
        <w:t>a qualified investor as defined in paragraph 15 of Schedule 1 to the POATRs; or</w:t>
      </w:r>
    </w:p>
    <w:p w:rsidRPr="00D861A3" w:rsidR="002C78CB" w:rsidP="002C78CB" w:rsidRDefault="002C78CB" w14:paraId="237CE9F5" w14:textId="57687CBC">
      <w:pPr>
        <w:pStyle w:val="AltH4OCAshurst"/>
        <w:numPr>
          <w:ilvl w:val="3"/>
          <w:numId w:val="44"/>
        </w:numPr>
        <w:tabs>
          <w:tab w:val="clear" w:pos="1276"/>
          <w:tab w:val="clear" w:pos="2880"/>
          <w:tab w:val="num" w:pos="1636"/>
        </w:tabs>
        <w:ind w:left="1636"/>
      </w:pPr>
      <w:r w:rsidRPr="00D861A3">
        <w:t xml:space="preserve">in the case of any Securities being offered, sold, distributed or otherwise made available on or after the day on which the revocation of </w:t>
      </w:r>
      <w:r w:rsidRPr="00D861A3">
        <w:rPr>
          <w:bCs/>
        </w:rPr>
        <w:t>Regulation (EU) No 1286/2014 as it forms part of UK domestic law by virtue of the EUWA (as amended, the "</w:t>
      </w:r>
      <w:r w:rsidRPr="00D861A3">
        <w:rPr>
          <w:b/>
        </w:rPr>
        <w:t>UK PRIIPs Regulation</w:t>
      </w:r>
      <w:r w:rsidRPr="00D861A3">
        <w:rPr>
          <w:bCs/>
        </w:rPr>
        <w:t xml:space="preserve">") </w:t>
      </w:r>
      <w:r w:rsidRPr="00D861A3">
        <w:t>comes into force, a person who is either (or both) of the following:</w:t>
      </w:r>
    </w:p>
    <w:p w:rsidRPr="00D861A3" w:rsidR="002C78CB" w:rsidP="002C78CB" w:rsidRDefault="002C78CB" w14:paraId="0A282463" w14:textId="77777777">
      <w:pPr>
        <w:pStyle w:val="AltH5OCAshurst"/>
        <w:numPr>
          <w:ilvl w:val="4"/>
          <w:numId w:val="44"/>
        </w:numPr>
        <w:tabs>
          <w:tab w:val="clear" w:pos="1843"/>
          <w:tab w:val="clear" w:pos="3600"/>
          <w:tab w:val="num" w:pos="2203"/>
        </w:tabs>
        <w:ind w:left="2203"/>
      </w:pPr>
      <w:r w:rsidRPr="00D861A3">
        <w:t>a retail investor as defined in the product disclosure rules made by the Financial Conduct Authority under the CCI Regulations; or</w:t>
      </w:r>
    </w:p>
    <w:p w:rsidRPr="00D861A3" w:rsidR="002C78CB" w:rsidP="002C78CB" w:rsidRDefault="002C78CB" w14:paraId="4108AF46" w14:textId="77777777">
      <w:pPr>
        <w:pStyle w:val="AltH5OCAshurst"/>
        <w:numPr>
          <w:ilvl w:val="4"/>
          <w:numId w:val="44"/>
        </w:numPr>
        <w:tabs>
          <w:tab w:val="clear" w:pos="1843"/>
          <w:tab w:val="clear" w:pos="3600"/>
          <w:tab w:val="num" w:pos="2203"/>
        </w:tabs>
        <w:ind w:left="2203"/>
      </w:pPr>
      <w:r w:rsidRPr="00D861A3">
        <w:t>not a qualified investor as defined in paragraph 15 of Schedule 1 to the POATRs; and</w:t>
      </w:r>
    </w:p>
    <w:p w:rsidRPr="00D861A3" w:rsidR="002C78CB" w:rsidP="002C78CB" w:rsidRDefault="002C78CB" w14:paraId="0538EAF2" w14:textId="77777777">
      <w:pPr>
        <w:pStyle w:val="AltH3OCAshurst"/>
        <w:tabs>
          <w:tab w:val="clear" w:pos="709"/>
          <w:tab w:val="clear" w:pos="2160"/>
          <w:tab w:val="num" w:pos="1069"/>
        </w:tabs>
        <w:ind w:left="1069"/>
      </w:pPr>
      <w:r w:rsidRPr="00D861A3">
        <w:t>the expression "offer" includes the communication in any form and by any means of sufficient information on the terms of the offer and the Securities to be offered so as to enable an investor to decide to buy or subscribe for the Securities.</w:t>
      </w:r>
    </w:p>
    <w:p w:rsidRPr="00D861A3" w:rsidR="00EE7F5B" w:rsidP="002C78CB" w:rsidRDefault="002C78CB" w14:paraId="25601626" w14:textId="7F5AC053">
      <w:pPr>
        <w:pStyle w:val="NormalOCAshurst"/>
        <w:ind w:left="360"/>
        <w:rPr>
          <w:rFonts w:eastAsia="Microsoft JhengHei"/>
          <w:bCs/>
        </w:rPr>
      </w:pPr>
      <w:r w:rsidRPr="00D861A3">
        <w:rPr>
          <w:bCs/>
        </w:rPr>
        <w:t>Notwithstanding the above, in the case where the Pricing Supplement in respect of any Securities does not specify the "Prohibition of Sales to UK Retail Investors" to be not applicable but where the Dealer subsequently prepares and publishes either a key information document under the UK PRIIPs Regulation or a product summary as required by the product disclosure rules made by the Financial Conduct Authority under the CCI Regulations in respect of such Securities, then following such publication, the prohibition on the offering, sale, distribution or otherwise making available the Securities to a retail investor in the United Kingdom as described above shall no longer apply.</w:t>
      </w:r>
      <w:r w:rsidRPr="00D861A3" w:rsidR="00EE7F5B">
        <w:rPr>
          <w:rFonts w:eastAsia="Microsoft JhengHei"/>
          <w:bCs/>
        </w:rPr>
        <w:t>"</w:t>
      </w:r>
    </w:p>
    <w:p w:rsidRPr="00D861A3" w:rsidR="000B69EE" w:rsidP="00DB215D" w:rsidRDefault="000B69EE" w14:paraId="6FB9F925" w14:textId="07BC81F2">
      <w:pPr>
        <w:pStyle w:val="NormalOCAshurst"/>
        <w:numPr>
          <w:ilvl w:val="0"/>
          <w:numId w:val="47"/>
        </w:numPr>
        <w:rPr>
          <w:b/>
          <w:bCs/>
        </w:rPr>
      </w:pPr>
      <w:r w:rsidRPr="00D861A3">
        <w:rPr>
          <w:b/>
          <w:bCs/>
        </w:rPr>
        <w:t>Amendments to the section entitled Regulation S/Rule 144A Securities</w:t>
      </w:r>
    </w:p>
    <w:p w:rsidRPr="00D861A3" w:rsidR="000B69EE" w:rsidP="000B69EE" w:rsidRDefault="000B69EE" w14:paraId="4C97EB83" w14:textId="1E7DC890">
      <w:pPr>
        <w:pStyle w:val="NormalOCAshurst"/>
        <w:ind w:left="360"/>
      </w:pPr>
      <w:r w:rsidRPr="00D861A3">
        <w:t xml:space="preserve">The section entitled "Regulation S/Rule 144A Securities" on page 649 of the Original </w:t>
      </w:r>
      <w:r w:rsidRPr="00D861A3">
        <w:rPr>
          <w:rFonts w:eastAsia="Microsoft JhengHei"/>
        </w:rPr>
        <w:t xml:space="preserve">Offering Circular </w:t>
      </w:r>
      <w:r w:rsidRPr="00D861A3">
        <w:t>shall be deleted in its entirety and replaced with the following:</w:t>
      </w:r>
    </w:p>
    <w:p w:rsidRPr="00D861A3" w:rsidR="000B69EE" w:rsidP="000B69EE" w:rsidRDefault="000B69EE" w14:paraId="67D2F128" w14:textId="4BA1AD18">
      <w:pPr>
        <w:pStyle w:val="NormalOCAshurst"/>
        <w:keepNext/>
        <w:ind w:left="360"/>
        <w:rPr>
          <w:b/>
          <w:i/>
        </w:rPr>
      </w:pPr>
      <w:r w:rsidRPr="00D861A3">
        <w:rPr>
          <w:bCs/>
          <w:i/>
        </w:rPr>
        <w:t>"</w:t>
      </w:r>
      <w:r w:rsidRPr="00D861A3">
        <w:rPr>
          <w:b/>
          <w:i/>
        </w:rPr>
        <w:t>Regulation S/Rule 144A Securities</w:t>
      </w:r>
    </w:p>
    <w:p w:rsidRPr="00D861A3" w:rsidR="00DF2ECD" w:rsidP="00141576" w:rsidRDefault="000B69EE" w14:paraId="6AC1E250" w14:textId="21D2C22E">
      <w:pPr>
        <w:pStyle w:val="NormalOCAshurst"/>
        <w:ind w:left="360"/>
        <w:rPr>
          <w:rFonts w:eastAsiaTheme="minorEastAsia" w:cstheme="minorBidi"/>
          <w:szCs w:val="24"/>
          <w:lang w:eastAsia="zh-TW"/>
        </w:rPr>
      </w:pPr>
      <w:r w:rsidRPr="00D861A3">
        <w:t>Each holder and each legal and beneficial owner of Regulation S/Rule 144A Securities, as a condition to purchasing such Securities or any legal or beneficial interest therein, will be obliged to enter into and remain in compliance with an Investor Letter of Representations in which it will represent on purchase that, unless such person is a QIB and also an Eligible Investor (each as defined in "</w:t>
      </w:r>
      <w:r w:rsidRPr="00D861A3">
        <w:rPr>
          <w:i/>
        </w:rPr>
        <w:t>Purchaser representations and requirements and transfer restrictions</w:t>
      </w:r>
      <w:r w:rsidRPr="00D861A3">
        <w:t>" below) at the time of the acquisition and is otherwise in compliance with Rule 144A, (A) neither it nor any person for whose account or benefit such Securities are being purchased (i) is located in the United States, (ii) is a U.S. person (as such terms is defined in Rule 902(k) of Regulation S) that is not an affiliate (as defined in Rule 405 under the Securities Act) of the Issuer or (iii) was solicited to purchase such Securities while present in the United States, (B) it is a "qualified investor", as defined in the EU Prospectus Regulation or POATRs (as applicable), or any other purchaser that is approved by the Dealer from time to time and (C) it shall not offer, sell, transfer, pledge, assign, deliver, exercise or redeem otherwise transfer any of such Securities or any interest therein at any time, directly or indirectly, in the United States or to, or for the account or benefit of, any U.S. person (as such term is defined in Rule 902(k) of Regulation S) that is not an affiliate (as defined in Rule 405 under the Securities Act) of the Issuer unless such person is a QIB and also an Eligible Investor at the time of the acquisition and otherwise in compliance with Rule 144A. See "</w:t>
      </w:r>
      <w:r w:rsidRPr="00D861A3">
        <w:rPr>
          <w:i/>
        </w:rPr>
        <w:t>Purchaser representations and requirements and transfer restrictions</w:t>
      </w:r>
      <w:r w:rsidRPr="00D861A3">
        <w:t>" below."</w:t>
      </w:r>
      <w:r w:rsidRPr="00D861A3" w:rsidR="00DF2ECD">
        <w:rPr>
          <w:rFonts w:eastAsiaTheme="minorEastAsia" w:cstheme="minorBidi"/>
          <w:szCs w:val="24"/>
          <w:lang w:eastAsia="zh-TW"/>
        </w:rPr>
        <w:br w:type="page"/>
      </w:r>
    </w:p>
    <w:p w:rsidRPr="00D861A3" w:rsidR="00DF2ECD" w:rsidP="00DF2ECD" w:rsidRDefault="00DF2ECD" w14:paraId="6C138F4E" w14:textId="4954CCCA">
      <w:pPr>
        <w:pStyle w:val="NormalOCAshurst"/>
        <w:jc w:val="center"/>
        <w:rPr>
          <w:b/>
          <w:bCs/>
        </w:rPr>
      </w:pPr>
      <w:r w:rsidRPr="00D861A3">
        <w:rPr>
          <w:b/>
          <w:bCs/>
        </w:rPr>
        <w:t>SCHEDULE 8</w:t>
      </w:r>
    </w:p>
    <w:p w:rsidRPr="00D861A3" w:rsidR="00DF2ECD" w:rsidP="00DF2ECD" w:rsidRDefault="00DF2ECD" w14:paraId="456D9B72" w14:textId="021BA06E">
      <w:pPr>
        <w:pStyle w:val="NormalOCAshurst"/>
        <w:jc w:val="center"/>
        <w:rPr>
          <w:b/>
          <w:bCs/>
        </w:rPr>
      </w:pPr>
      <w:r w:rsidRPr="00D861A3">
        <w:rPr>
          <w:b/>
          <w:bCs/>
        </w:rPr>
        <w:t>PURCHASER REPRESENTATIONS AND REQUIREMENTS AND TRANSFER RESTRICTIONS</w:t>
      </w:r>
    </w:p>
    <w:p w:rsidRPr="00D861A3" w:rsidR="00E32795" w:rsidP="00DB215D" w:rsidRDefault="00E32795" w14:paraId="61D3CDA2" w14:textId="64B8BE83">
      <w:pPr>
        <w:pStyle w:val="NormalOCAshurst"/>
        <w:numPr>
          <w:ilvl w:val="0"/>
          <w:numId w:val="54"/>
        </w:numPr>
        <w:rPr>
          <w:b/>
          <w:bCs/>
        </w:rPr>
      </w:pPr>
      <w:r w:rsidRPr="00D861A3">
        <w:rPr>
          <w:b/>
          <w:bCs/>
        </w:rPr>
        <w:t xml:space="preserve">Amendments to the section entitled </w:t>
      </w:r>
      <w:r w:rsidRPr="00D861A3" w:rsidR="00D72032">
        <w:rPr>
          <w:b/>
          <w:bCs/>
        </w:rPr>
        <w:t>ECPs</w:t>
      </w:r>
    </w:p>
    <w:p w:rsidRPr="00D861A3" w:rsidR="00E32795" w:rsidP="00DB215D" w:rsidRDefault="001B7346" w14:paraId="15849F9D" w14:textId="0B6E8AB7">
      <w:pPr>
        <w:pStyle w:val="NormalOCAshurst"/>
        <w:numPr>
          <w:ilvl w:val="0"/>
          <w:numId w:val="55"/>
        </w:numPr>
        <w:ind w:left="709" w:hanging="425"/>
      </w:pPr>
      <w:r w:rsidRPr="00D861A3">
        <w:t>S</w:t>
      </w:r>
      <w:r w:rsidRPr="00D861A3" w:rsidR="00D72032">
        <w:t>ub-</w:t>
      </w:r>
      <w:r w:rsidRPr="00D861A3" w:rsidR="00E32795">
        <w:t>section</w:t>
      </w:r>
      <w:r w:rsidRPr="00D861A3" w:rsidR="00D72032">
        <w:t xml:space="preserve"> (i)(iii) under the "ECPs" section</w:t>
      </w:r>
      <w:r w:rsidRPr="00D861A3" w:rsidR="00E32795">
        <w:t xml:space="preserve"> </w:t>
      </w:r>
      <w:r w:rsidRPr="00D861A3" w:rsidR="00D72032">
        <w:t>beginning</w:t>
      </w:r>
      <w:r w:rsidRPr="00D861A3" w:rsidR="00E32795">
        <w:t xml:space="preserve"> </w:t>
      </w:r>
      <w:r w:rsidRPr="00D861A3">
        <w:t xml:space="preserve">with </w:t>
      </w:r>
      <w:r w:rsidRPr="00D861A3" w:rsidR="00E32795">
        <w:t>"</w:t>
      </w:r>
      <w:r w:rsidRPr="00D861A3" w:rsidR="00D72032">
        <w:t>Regulation S/Rule 144A Notes will bear a legend as determined by the relevant Issuer, substantially to the following effect:</w:t>
      </w:r>
      <w:r w:rsidRPr="00D861A3" w:rsidR="00E32795">
        <w:t xml:space="preserve">" on pages 657 to 658 of the Original </w:t>
      </w:r>
      <w:r w:rsidRPr="00D861A3" w:rsidR="00E32795">
        <w:rPr>
          <w:rFonts w:eastAsia="Microsoft JhengHei"/>
        </w:rPr>
        <w:t xml:space="preserve">Offering Circular </w:t>
      </w:r>
      <w:r w:rsidRPr="00D861A3" w:rsidR="00E32795">
        <w:t>shall be deleted in its entirety and replaced with the following:</w:t>
      </w:r>
    </w:p>
    <w:p w:rsidRPr="00D861A3" w:rsidR="00E32795" w:rsidP="00D72032" w:rsidRDefault="00E32795" w14:paraId="2FBBC2F6" w14:textId="09606F35">
      <w:pPr>
        <w:pStyle w:val="NormalOCAshurst"/>
        <w:ind w:left="709"/>
      </w:pPr>
      <w:r w:rsidRPr="00D861A3">
        <w:t>"(iii)</w:t>
      </w:r>
      <w:r w:rsidRPr="00D861A3">
        <w:tab/>
        <w:t>Regulation S/Rule 144A Notes will bear a legend as determined by the relevant Issuer, substantially to the following effect:</w:t>
      </w:r>
    </w:p>
    <w:p w:rsidRPr="00D861A3" w:rsidR="00E32795" w:rsidP="00D72032" w:rsidRDefault="00E32795" w14:paraId="513329CA" w14:textId="77777777">
      <w:pPr>
        <w:pStyle w:val="NormalOCAshurst"/>
        <w:ind w:left="709"/>
      </w:pPr>
      <w:r w:rsidRPr="00D861A3">
        <w:t>THIS NOTE, THE GUARANTEE IN RESPECT HEREOF AND, IN CERTAIN INSTANCES THE SECURITIES TO BE DELIVERED UPON EXERCISE HEREOF, IF ANY, HAVE NOT BEEN AND WILL NOT BE REGISTERED UNDER THE SECURITIES ACT OF 1933, AS AMENDED (THE "</w:t>
      </w:r>
      <w:r w:rsidRPr="00D861A3">
        <w:rPr>
          <w:b/>
          <w:bCs/>
        </w:rPr>
        <w:t>SECURITIES ACT</w:t>
      </w:r>
      <w:r w:rsidRPr="00D861A3">
        <w:t>"), OR THE LAWS OF ANY STATE OR OTHER JURISDICTION OF THE UNITED STATES, AND NEITHER THIS NOTE NOR ANY INTEREST HEREIN MAY BE OFFERED, SOLD, TRANSFERRED, PLEDGED, ASSIGNED, DELIVERED, EXERCISED OR REDEEMED, EXCEPT:</w:t>
      </w:r>
    </w:p>
    <w:p w:rsidRPr="00D861A3" w:rsidR="00E32795" w:rsidP="00D72032" w:rsidRDefault="00E32795" w14:paraId="32D6FCBB" w14:textId="77777777">
      <w:pPr>
        <w:pStyle w:val="NormalOCAshurst"/>
        <w:ind w:left="709"/>
      </w:pPr>
      <w:r w:rsidRPr="00D861A3">
        <w:t>(I) (1) PURSUANT TO THE REGISTRATION EXEMPTION CONTAINED IN REGULATION S UNDER THE SECURITIES ACT ("</w:t>
      </w:r>
      <w:r w:rsidRPr="00D861A3">
        <w:rPr>
          <w:b/>
          <w:bCs/>
        </w:rPr>
        <w:t>REGULATION S</w:t>
      </w:r>
      <w:r w:rsidRPr="00D861A3">
        <w:t>") EXCLUSIVELY TO OR THROUGH THE ISSUER OR THE DEALER TO A PERSON WHO (A) IS NOT A U.S. PERSON OR IS AN AFFILIATE OF THE ISSUER, (B) IS NOT ACTING FOR OR ON BEHALF OF A U.S. PERSON, (C) IS ACQUIRING THIS NOTE IN AN OFFSHORE TRANSACTION IN COMPLIANCE WITH REGULATION S, AND (D) IS EITHER (I) A "</w:t>
      </w:r>
      <w:r w:rsidRPr="00D861A3">
        <w:rPr>
          <w:b/>
          <w:bCs/>
        </w:rPr>
        <w:t>QUALIFIED INVESTOR</w:t>
      </w:r>
      <w:r w:rsidRPr="00D861A3">
        <w:t>" AS DEFINED IN REGULATION (EU) 2017/1129 (AS AMENDED) OR THE PUBLIC OFFERS AND ADMISSIONS TO TRADING REGULATIONS 2024 (AS APPLICABLE), OR (II) ANY OTHER PURCHASER THAT IS APPROVED BY THE DEALER FROM TIME TO TIME) OR (2) IN ACCORDANCE WITH APPLICABLE SECURITIES LAWS OF ANY STATE OF THE UNITED STATES AND IN ACCORDANCE WITH RULE 144A UNDER THE SECURITIES ACT ("</w:t>
      </w:r>
      <w:r w:rsidRPr="00D861A3">
        <w:rPr>
          <w:b/>
          <w:bCs/>
        </w:rPr>
        <w:t>RULE 144A</w:t>
      </w:r>
      <w:r w:rsidRPr="00D861A3">
        <w:t>") EXCLUSIVELY TO OR THROUGH THE ISSUER OR THE DEALER TO A PERSON WHO MEETS ALL OF THE FOLLOWING REQUIREMENTS AT THE TIME OF SUCH TRANSFER: (A) IT IS A QUALIFIED INSTITUTIONAL BUYER ("</w:t>
      </w:r>
      <w:r w:rsidRPr="00D861A3">
        <w:rPr>
          <w:b/>
          <w:bCs/>
        </w:rPr>
        <w:t>QIB</w:t>
      </w:r>
      <w:r w:rsidRPr="00D861A3">
        <w:t>") AS DEFINED IN RULE 144A; (B) IT IS A QUALIFIED PURCHASER ("</w:t>
      </w:r>
      <w:r w:rsidRPr="00D861A3">
        <w:rPr>
          <w:b/>
          <w:bCs/>
        </w:rPr>
        <w:t>QP</w:t>
      </w:r>
      <w:r w:rsidRPr="00D861A3">
        <w:t>"), AS DEFINED IN SECTION 2(A)(51) OF THE U.S. INVESTMENT COMPANY ACT OF 1940 (THE "</w:t>
      </w:r>
      <w:r w:rsidRPr="00D861A3">
        <w:rPr>
          <w:b/>
          <w:bCs/>
        </w:rPr>
        <w:t>INVESTMENT COMPANY ACT</w:t>
      </w:r>
      <w:r w:rsidRPr="00D861A3">
        <w:t>"); (C) IT IS AN "ELIGIBLE CONTRACT PARTICIPANT" (AS DEFINED IN THE U.S. COMMODITIES EXCHANGE ACT, AS AMENDED); (D) IT IS EITHER A MAJOR U.S. INSTITUTIONAL INVESTOR ("</w:t>
      </w:r>
      <w:r w:rsidRPr="00D861A3">
        <w:rPr>
          <w:b/>
          <w:bCs/>
        </w:rPr>
        <w:t>MUSIV</w:t>
      </w:r>
      <w:r w:rsidRPr="00D861A3">
        <w:t>"), AS DEFINED IN RULE 15A-6(B)(4) UNDER THE U.S. SECURITIES EXCHANGE ACT OF 1934, AS AMENDED, OR A QUALIFIED OFFSHORE CLIENT ("</w:t>
      </w:r>
      <w:r w:rsidRPr="00D861A3">
        <w:rPr>
          <w:b/>
          <w:bCs/>
        </w:rPr>
        <w:t>QUALIFIED OFFSHORE CLIENT</w:t>
      </w:r>
      <w:r w:rsidRPr="00D861A3">
        <w:t>"), AS DEFINED IN THE PROSPECTUS; AND</w:t>
      </w:r>
    </w:p>
    <w:p w:rsidRPr="00D861A3" w:rsidR="00E32795" w:rsidP="00D72032" w:rsidRDefault="00E32795" w14:paraId="7CAA5D4F" w14:textId="77777777">
      <w:pPr>
        <w:pStyle w:val="NormalOCAshurst"/>
        <w:ind w:left="709"/>
      </w:pPr>
      <w:r w:rsidRPr="00D861A3">
        <w:t>(II) WHERE THE PURCHASER THEREOF (A) WILL PROVIDE NOTICE OF APPLICABLE TRANSFER RESTRICTIONS TO ANY SUBSEQUENT TRANSFEREE; (B) IS PURCHASING SOLELY FOR ITS OWN ACCOUNT OR FOR THE ACCOUNTS OF ONE OR MORE NON-U.S. PERSONS (IN THE CASE OF CLAUSE (I)(1) ABOVE) OR ONE OR MORE QIBs (IN THE CASE OF CLAUSE (I)(2) ABOVE) AS TO EACH OF WHICH IT ACTS AS DULY AUTHORISED AGENT AND/OR EXERCISES SOLE INVESTMENT DISCRETION AND FOR EACH OF WHICH IT HAS FULL POWER TO MAKE THE ACKNOWLEDGMENTS, REPRESENTATIONS, WARRANTIES AND AGREEMENTS SET FORTH IN EITHER CLAUSES (I)(1) OR (I)(2); (C) HAS ENTERED INTO THE RELEVANT INVESTOR LETTER OF REPRESENTATIONS FOR THE BENEFIT OF THE ISSUER, THE GUARANTOR, THE ARRANGER AND THE DEALER AND REMAINS IN COMPLIANCE THEREWITH; (D) UNDERSTANDS AND ACKNOWLEDGES THAT THE ISSUER MAY RECEIVE A LIST OF PARTICIPANTS HOLDING POSITIONS IN THE SECURITIES FROM ONE OR MORE BOOK-ENTRY DEPOSITORIES; AND (E) AGREES THAT IT WILL NOT REOFFER, RESELL, REDELIVER, PLEDGE OR OTHERWISE TRANSFER ANY SECURITIES OR ANY LEGAL OR BENEFICIAL INTEREST THEREIN TO ANY PERSON EXCEPT (W) TO THE ISSUER OR THE DEALER, (X) IN ACCORDANCE WITH REGULATION S IN A TRANSACTION THAT MEETS ALL THE REQUIREMENTS OF CLAUSES (I)(1) ABOVE AND THIS CLAUSE (II), TO A PERSON WHO MAKES THE ACKNOWLEDGMENT IN CLAUSE (II)(D) ABOVE AND WHO MAKES AN UNDERTAKING TO THE EFFECT OF THIS CLAUSE (II)(E), OR (Y) IN ACCORDANCE WITH APPLICABLE SECURITIES LAWS OF ANY STATE OF THE UNITED STATES AND IN ACCORDANCE WITH RULE 144A EXCLUSIVELY TO OR THROUGH THE ISSUER OR THE DEALER TO PERSONS WHO MEET ALL OF THE REQUIREMENTS OF CLAUSES (I)(2) ABOVE AND THIS CLAUSE (II), WHO MAKE THE ACKNOWLEDGMENT IN CLAUSE (II)(D) ABOVE AND WHO MAKE AN UNDERTAKING TO THE EFFECT OF THIS CLAUSE (II)(E).</w:t>
      </w:r>
    </w:p>
    <w:p w:rsidRPr="00D861A3" w:rsidR="00E32795" w:rsidP="00D72032" w:rsidRDefault="00E32795" w14:paraId="2ECA9590" w14:textId="77777777">
      <w:pPr>
        <w:pStyle w:val="NormalOCAshurst"/>
        <w:ind w:left="709"/>
      </w:pPr>
      <w:r w:rsidRPr="00D861A3">
        <w:t>ANY PLEDGE, SALE OR OTHER TRANSFER OF THIS NOTE EFFECTED OTHERWISE THAN EITHER TO OR THROUGH THE ISSUER OR THE DEALER IN AN OFFSHORE TRANSACTION SOLELY TO OR FOR THE BENEFIT OF A PERSON WHO SATISFIES THE CONDITIONS OF CLAUSE (I)(1) OR TO OR THROUGH THE ISSUER OR THE DEALER TO A PERSON THAT SATISFIES THE CONDITIONS IN CLAUSE (I)(2) ABOVE AND IN EITHER CASE SATISFIES THE CONDITIONS IN CLAUSE (II) ABOVE SHALL, AT THE OPTION OF THE ISSUER, (X) CAUSE SUCH NOTE TO BE SOLD OR (Y) GIVE NOTICE TO THE TRANSFEREE THAT SUCH NOTE WILL BE REDEEMED. AS USED HEREIN, THE TERMS "</w:t>
      </w:r>
      <w:r w:rsidRPr="00D861A3">
        <w:rPr>
          <w:b/>
          <w:bCs/>
        </w:rPr>
        <w:t>OFFSHORE TRANSACTION</w:t>
      </w:r>
      <w:r w:rsidRPr="00D861A3">
        <w:t>", "</w:t>
      </w:r>
      <w:r w:rsidRPr="00D861A3">
        <w:rPr>
          <w:b/>
          <w:bCs/>
        </w:rPr>
        <w:t>UNITED STATES</w:t>
      </w:r>
      <w:r w:rsidRPr="00D861A3">
        <w:t>" AND "</w:t>
      </w:r>
      <w:r w:rsidRPr="00D861A3">
        <w:rPr>
          <w:b/>
          <w:bCs/>
        </w:rPr>
        <w:t>U.S. PERSON</w:t>
      </w:r>
      <w:r w:rsidRPr="00D861A3">
        <w:t>" HAVE THE MEANINGS GIVEN TO THEM UNDER REGULATION S.</w:t>
      </w:r>
    </w:p>
    <w:p w:rsidRPr="00D861A3" w:rsidR="00E32795" w:rsidP="00D72032" w:rsidRDefault="00E32795" w14:paraId="1A895D9C" w14:textId="602A568C">
      <w:pPr>
        <w:pStyle w:val="NormalOCAshurst"/>
        <w:ind w:left="709"/>
      </w:pPr>
      <w:r w:rsidRPr="00D861A3">
        <w:t>HEDGING TRANSACTIONS INVOLVING THIS NOTE MAY NOT BE CONDUCTED EXCEPT IN COMPLIANCE WITH THE SECURITIES ACT."</w:t>
      </w:r>
    </w:p>
    <w:p w:rsidRPr="00D861A3" w:rsidR="00D72032" w:rsidP="00DB215D" w:rsidRDefault="001B7346" w14:paraId="41A25038" w14:textId="0DA5D9A8">
      <w:pPr>
        <w:pStyle w:val="NormalOCAshurst"/>
        <w:numPr>
          <w:ilvl w:val="0"/>
          <w:numId w:val="55"/>
        </w:numPr>
        <w:ind w:left="709" w:hanging="425"/>
      </w:pPr>
      <w:r w:rsidRPr="00D861A3">
        <w:t>S</w:t>
      </w:r>
      <w:r w:rsidRPr="00D861A3" w:rsidR="00D72032">
        <w:t>ub-section (i)(iv) under the "ECPs" section beginning</w:t>
      </w:r>
      <w:r w:rsidRPr="00D861A3">
        <w:t xml:space="preserve"> with</w:t>
      </w:r>
      <w:r w:rsidRPr="00D861A3" w:rsidR="00D72032">
        <w:t xml:space="preserve"> "</w:t>
      </w:r>
      <w:r w:rsidRPr="00D861A3" w:rsidR="00141576">
        <w:t xml:space="preserve">Regulation S/Rule 144A Warrants or Regulation S/Rule 144A Certificates </w:t>
      </w:r>
      <w:r w:rsidRPr="00D861A3" w:rsidR="00D72032">
        <w:t xml:space="preserve">will bear a legend as determined by the relevant Issuer, substantially to the following effect:" on pages 658 to 659 of the Original </w:t>
      </w:r>
      <w:r w:rsidRPr="00D861A3" w:rsidR="00D72032">
        <w:rPr>
          <w:rFonts w:eastAsia="Microsoft JhengHei"/>
        </w:rPr>
        <w:t xml:space="preserve">Offering Circular </w:t>
      </w:r>
      <w:r w:rsidRPr="00D861A3" w:rsidR="00D72032">
        <w:t>shall be deleted in its entirety and replaced with the following:</w:t>
      </w:r>
    </w:p>
    <w:p w:rsidRPr="00D861A3" w:rsidR="00E32795" w:rsidP="00D72032" w:rsidRDefault="00E32795" w14:paraId="11641AA1" w14:textId="20ADABBE">
      <w:pPr>
        <w:pStyle w:val="NormalOCAshurst"/>
        <w:ind w:left="709"/>
      </w:pPr>
      <w:r w:rsidRPr="00D861A3">
        <w:t>"(iv)</w:t>
      </w:r>
      <w:r w:rsidRPr="00D861A3">
        <w:tab/>
        <w:t>Regulation S/Rule 144A Warrants or Regulation S/Rule 144A Certificates will bear a legend as determined by the relevant Issuer, substantially to the following effect:</w:t>
      </w:r>
    </w:p>
    <w:p w:rsidRPr="00D861A3" w:rsidR="00E32795" w:rsidP="00D72032" w:rsidRDefault="00E32795" w14:paraId="485E3E19" w14:textId="77777777">
      <w:pPr>
        <w:pStyle w:val="NormalOCAshurst"/>
        <w:ind w:left="709"/>
      </w:pPr>
      <w:r w:rsidRPr="00D861A3">
        <w:t>THIS SECURITY, THE GUARANTEE IN RESPECT HEREOF AND, IN CERTAIN INSTANCES THE SECURITIES TO BE DELIVERED UPON EXERCISE HEREOF, IF ANY, HAVE NOT BEEN AND WILL NOT BE REGISTERED UNDER THE SECURITIES ACT OF 1933, AS AMENDED (THE "</w:t>
      </w:r>
      <w:r w:rsidRPr="00D861A3">
        <w:rPr>
          <w:b/>
          <w:bCs/>
        </w:rPr>
        <w:t>SECURITIES ACT</w:t>
      </w:r>
      <w:r w:rsidRPr="00D861A3">
        <w:t>"), OR ANY STATE SECURITIES LAWS, AND NEITHER THIS SECURITY NOR ANY INTEREST HEREIN MAY BE OFFERED, SOLD, PLEDGED, ASSIGNED, DELIVERED OR OTHERWISE TRANSFERRED OR EXERCISED OR REDEEMED, EXCEPT:</w:t>
      </w:r>
    </w:p>
    <w:p w:rsidRPr="00D861A3" w:rsidR="00E32795" w:rsidP="00D72032" w:rsidRDefault="00E32795" w14:paraId="628113FB" w14:textId="77777777">
      <w:pPr>
        <w:pStyle w:val="NormalOCAshurst"/>
        <w:ind w:left="709"/>
      </w:pPr>
      <w:r w:rsidRPr="00D861A3">
        <w:t>(I) (1) PURSUANT TO THE REGISTRATION EXEMPTION CONTAINED IN REGULATION S UNDER THE SECURITIES ACT ("</w:t>
      </w:r>
      <w:r w:rsidRPr="00D861A3">
        <w:rPr>
          <w:b/>
          <w:bCs/>
        </w:rPr>
        <w:t>REGULATION S</w:t>
      </w:r>
      <w:r w:rsidRPr="00D861A3">
        <w:t>") EXCLUSIVELY TO OR THROUGH THE ISSUER OR THE DEALER TO A PERSON WHO (A) IS NOT A U.S. PERSON OR IS AN AFFILIATE OF THE ISSUER, (B) IS NOT ACTING FOR OR ON BEHALF OF A U.S. PERSON, (C) IS ACQUIRING THIS SECURITY IN AN OFFSHORE TRANSACTION IN COMPLIANCE WITH REGULATION S, AND (D) IS EITHER (I) A "</w:t>
      </w:r>
      <w:r w:rsidRPr="00D861A3">
        <w:rPr>
          <w:b/>
          <w:bCs/>
        </w:rPr>
        <w:t>QUALIFIED INVESTOR</w:t>
      </w:r>
      <w:r w:rsidRPr="00D861A3">
        <w:t>" AS DEFINED IN REGULATION (EU) 2017/1129 (AS AMENDED) OR THE PUBLIC OFFERS AND ADMISSIONS TO TRADING REGULATIONS 2024 (AS APPLICABLE), OR (II) ANY OTHER PURCHASER THAT IS APPROVED BY THE DEALER FROM TIME TO TIME) OR (2) IN ACCORDANCE WITH APPLICABLE SECURITIES LAWS OF ANY STATE OF THE UNITED STATES AND IN ACCORDANCE WITH RULE 144A UNDER THE SECURITIES ACT ("</w:t>
      </w:r>
      <w:r w:rsidRPr="00D861A3">
        <w:rPr>
          <w:b/>
          <w:bCs/>
        </w:rPr>
        <w:t>RULE 144A</w:t>
      </w:r>
      <w:r w:rsidRPr="00D861A3">
        <w:t>") EXCLUSIVELY TO OR THROUGH THE ISSUER OR THE DEALER TO A PERSON WHO MEETS ALL OF THE FOLLOWING REQUIREMENTS AT THE TIME OF SUCH TRANSFER: (A) IT IS A QUALIFIED INSTITUTIONAL BUYER ("</w:t>
      </w:r>
      <w:r w:rsidRPr="00D861A3">
        <w:rPr>
          <w:b/>
          <w:bCs/>
        </w:rPr>
        <w:t>QIB</w:t>
      </w:r>
      <w:r w:rsidRPr="00D861A3">
        <w:t>") AS DEFINED IN RULE 144A; (B) IT IS A QUALIFIED PURCHASER ("</w:t>
      </w:r>
      <w:r w:rsidRPr="00D861A3">
        <w:rPr>
          <w:b/>
          <w:bCs/>
        </w:rPr>
        <w:t>QP</w:t>
      </w:r>
      <w:r w:rsidRPr="00D861A3">
        <w:t>"), AS DEFINED IN SECTION 2(A)(51) OF THE U.S. INVESTMENT COMPANY ACT OF 1940 ("</w:t>
      </w:r>
      <w:r w:rsidRPr="00D861A3">
        <w:rPr>
          <w:b/>
          <w:bCs/>
        </w:rPr>
        <w:t>INVESTMENT COMPANY ACT</w:t>
      </w:r>
      <w:r w:rsidRPr="00D861A3">
        <w:t>"); (C) IT IS AN "ELIGIBLE CONTRACT PARTICIPANT" (AS DEFINED IN THE U.S. COMMODITIES EXCHANGE ACT, AS AMENDED); (D) IT IS EITHER A MAJOR U.S. INSTITUTIONAL INVESTOR ("</w:t>
      </w:r>
      <w:r w:rsidRPr="00D861A3">
        <w:rPr>
          <w:b/>
          <w:bCs/>
        </w:rPr>
        <w:t>MUSIV</w:t>
      </w:r>
      <w:r w:rsidRPr="00D861A3">
        <w:t>"), AS DEFINED IN RULE 15A-6(B)(4) UNDER THE U.S. SECURITIES EXCHANGE ACT OF 1934, AS AMENDED, OR A QUALIFIED OFFSHORE CLIENT ("</w:t>
      </w:r>
      <w:r w:rsidRPr="00D861A3">
        <w:rPr>
          <w:b/>
          <w:bCs/>
        </w:rPr>
        <w:t>QUALIFIED OFFSHORE</w:t>
      </w:r>
      <w:r w:rsidRPr="00D861A3">
        <w:t xml:space="preserve"> </w:t>
      </w:r>
      <w:r w:rsidRPr="00D861A3">
        <w:rPr>
          <w:b/>
          <w:bCs/>
        </w:rPr>
        <w:t>CLIENT</w:t>
      </w:r>
      <w:r w:rsidRPr="00D861A3">
        <w:t>"), AS DEFINED IN THE PROSPECTUS; AND</w:t>
      </w:r>
    </w:p>
    <w:p w:rsidRPr="00D861A3" w:rsidR="00E32795" w:rsidP="00D72032" w:rsidRDefault="00E32795" w14:paraId="0CE8684B" w14:textId="77777777">
      <w:pPr>
        <w:pStyle w:val="NormalOCAshurst"/>
        <w:ind w:left="709"/>
      </w:pPr>
      <w:r w:rsidRPr="00D861A3">
        <w:t>(II) WHERE THE PURCHASER THEREOF (A) WILL PROVIDE NOTICE OF APPLICABLE TRANSFER RESTRICTIONS TO ANY SUBSEQUENT TRANSFEREE; (B) IS PURCHASING SOLELY FOR ITS OWN ACCOUNT OR FOR THE ACCOUNTS OF ONE OR MORE NON-U.S. PERSONS (IN THE CASE OF CLAUSE (I)(1) ABOVE) OR ONE OR MORE QIBs (IN THE CASE OF CLAUSE (I)(2) ABOVE) AS TO EACH OF WHICH IT ACTS AS DULY AUTHORISED AGENT AND/OR EXERCISES SOLE INVESTMENT DISCRETION AND FOR EACH OF WHICH IT HAS FULL POWER TO MAKE THE ACKNOWLEDGMENTS, REPRESENTATIONS, WARRANTIES AND AGREEMENTS SET FORTH IN EITHER CLAUSES (I)(1) OR (I)(2); (C) HAS ENTERED INTO THE RELEVANT INVESTOR LETTER OF REPRESENTATIONS FOR THE BENEFIT OF THE ISSUER, THE GUARANTOR, THE ARRANGER AND THE DEALER AND REMAINS IN COMPLIANCE THEREWITH; (D) UNDERSTANDS AND ACKNOWLEDGES THAT THE ISSUER MAY RECEIVE A LIST OF PARTICIPANTS HOLDING POSITIONS IN THE SECURITIES FROM ONE OR MORE BOOK-ENTRY DEPOSITORIES; AND (E) AGREES THAT IT WILL NOT REOFFER, RESELL, REDELIVER, PLEDGE OR OTHERWISE TRANSFER ANY SECURITIES OR ANY LEGAL OR BENEFICIAL INTEREST THEREIN TO ANY PERSON EXCEPT (W) TO THE ISSUER OR THE DEALER, (X) IN ACCORDANCE WITH REGULATION S IN A TRANSACTION THAT MEETS ALL THE REQUIREMENTS OF CLAUSES (I)(1) ABOVE AND THIS CLAUSE (II), TO A PERSON WHO MAKES THE ACKNOWLEDGMENT IN CLAUSE (II)(D) ABOVE AND WHO MAKES AN UNDERTAKING TO THE EFFECT OF THIS CLAUSE (II)(E), OR (Y) IN ACCORDANCE WITH APPLICABLE SECURITIES LAWS OF ANY STATE OF THE UNITED STATES AND IN ACCORDANCE WITH RULE 144A EXCLUSIVELY TO OR THROUGH THE ISSUER OR THE DEALER TO PERSONS WHO MEET ALL OF THE REQUIREMENTS OF CLAUSES (I)(2) ABOVE AND THIS CLAUSE (II), WHO MAKE THE ACKNOWLEDGMENT IN CLAUSE (II)(D) ABOVE AND WHO MAKE AN UNDERTAKING TO THE EFFECT OF THIS CLAUSE (II)(E).</w:t>
      </w:r>
    </w:p>
    <w:p w:rsidRPr="00D861A3" w:rsidR="00E32795" w:rsidP="00D72032" w:rsidRDefault="00E32795" w14:paraId="4AF5AC22" w14:textId="77777777">
      <w:pPr>
        <w:pStyle w:val="NormalOCAshurst"/>
        <w:ind w:left="709"/>
      </w:pPr>
      <w:r w:rsidRPr="00D861A3">
        <w:t>ANY PLEDGE, SALE OR OTHER TRANSFER OF THIS SECURITY EFFECTED OTHERWISE THAN EITHER TO OR THROUGH THE ISSUER OR DEALER IN AN OFFSHORE TRANSACTION SOLELY TO OR FOR THE BENEFIT OF A PERSON WHO SATISFIES THE CONDITIONS OF CLAUSE (I)(1) OR TO OR THROUGH THE ISSUER OR THE DEALER TO A PERSON THAT SATISFIES THE CONDITIONS IN CLAUSE (I)(2) ABOVE AND IN EITHER CASE SATISFIES THE CONDITIONS IN CLAUSE (II) ABOVE SHALL, AT THE OPTION OF THE ISSUER, (X) CAUSE SUCH SECURITY TO BE SOLD OR (Y) GIVE NOTICE TO THE TRANSFEREE THAT SUCH SECURITY WILL BE REDEEMED. AS USED HEREIN, THE TERMS "</w:t>
      </w:r>
      <w:r w:rsidRPr="00D861A3">
        <w:rPr>
          <w:b/>
          <w:bCs/>
        </w:rPr>
        <w:t>OFFSHORE TRANSACTION</w:t>
      </w:r>
      <w:r w:rsidRPr="00D861A3">
        <w:t>", "</w:t>
      </w:r>
      <w:r w:rsidRPr="00D861A3">
        <w:rPr>
          <w:b/>
          <w:bCs/>
        </w:rPr>
        <w:t>UNITED STATES</w:t>
      </w:r>
      <w:r w:rsidRPr="00D861A3">
        <w:t>" AND "</w:t>
      </w:r>
      <w:r w:rsidRPr="00D861A3">
        <w:rPr>
          <w:b/>
          <w:bCs/>
        </w:rPr>
        <w:t>U.S. PERSON</w:t>
      </w:r>
      <w:r w:rsidRPr="00D861A3">
        <w:t>" HAVE THE MEANINGS GIVEN TO THEM BY REGULATION S.</w:t>
      </w:r>
    </w:p>
    <w:p w:rsidRPr="00D861A3" w:rsidR="00DF2ECD" w:rsidP="00141576" w:rsidRDefault="00E32795" w14:paraId="4105BCD7" w14:textId="2E9BBA01">
      <w:pPr>
        <w:pStyle w:val="NormalOCAshurst"/>
        <w:ind w:left="709"/>
        <w:rPr>
          <w:rFonts w:eastAsiaTheme="minorEastAsia" w:cstheme="minorBidi"/>
          <w:szCs w:val="24"/>
          <w:lang w:eastAsia="zh-TW"/>
        </w:rPr>
      </w:pPr>
      <w:r w:rsidRPr="00D861A3">
        <w:t>HEDGING TRANSACTIONS INVOLVING THIS SECURITY MAY NOT BE CONDUCTED EXCEPT IN COMPLIANCE WITH THE SECURITIES ACT."</w:t>
      </w:r>
      <w:r w:rsidRPr="00D861A3" w:rsidR="00DF2ECD">
        <w:rPr>
          <w:rFonts w:eastAsiaTheme="minorEastAsia" w:cstheme="minorBidi"/>
          <w:szCs w:val="24"/>
          <w:lang w:eastAsia="zh-TW"/>
        </w:rPr>
        <w:br w:type="page"/>
      </w:r>
    </w:p>
    <w:p w:rsidRPr="00D861A3" w:rsidR="00DF2ECD" w:rsidP="00DF2ECD" w:rsidRDefault="00DF2ECD" w14:paraId="5638046B" w14:textId="21CC6F77">
      <w:pPr>
        <w:pStyle w:val="NormalOCAshurst"/>
        <w:jc w:val="center"/>
        <w:rPr>
          <w:b/>
          <w:bCs/>
        </w:rPr>
      </w:pPr>
      <w:r w:rsidRPr="00D861A3">
        <w:rPr>
          <w:b/>
          <w:bCs/>
        </w:rPr>
        <w:t>SCHEDULE 9</w:t>
      </w:r>
    </w:p>
    <w:p w:rsidRPr="00D861A3" w:rsidR="00DF2ECD" w:rsidP="00DF2ECD" w:rsidRDefault="00DF2ECD" w14:paraId="3E0E5C68" w14:textId="052D7E7B">
      <w:pPr>
        <w:pStyle w:val="NormalOCAshurst"/>
        <w:jc w:val="center"/>
        <w:rPr>
          <w:b/>
          <w:bCs/>
        </w:rPr>
      </w:pPr>
      <w:r w:rsidRPr="00D861A3">
        <w:rPr>
          <w:b/>
          <w:bCs/>
        </w:rPr>
        <w:t>IMPORTANT LEGAL INFORMATION</w:t>
      </w:r>
    </w:p>
    <w:p w:rsidRPr="00D861A3" w:rsidR="00430AAD" w:rsidP="00DB215D" w:rsidRDefault="00430AAD" w14:paraId="6AFE7B16" w14:textId="49089ADD">
      <w:pPr>
        <w:pStyle w:val="NormalOCAshurst"/>
        <w:numPr>
          <w:ilvl w:val="0"/>
          <w:numId w:val="53"/>
        </w:numPr>
        <w:rPr>
          <w:b/>
          <w:bCs/>
        </w:rPr>
      </w:pPr>
      <w:r w:rsidRPr="00D861A3">
        <w:rPr>
          <w:b/>
          <w:bCs/>
        </w:rPr>
        <w:t>Amendments to the section entitled Warning</w:t>
      </w:r>
    </w:p>
    <w:p w:rsidRPr="00D861A3" w:rsidR="00430AAD" w:rsidP="00430AAD" w:rsidRDefault="006D3521" w14:paraId="3FC4FC18" w14:textId="1A2E5B05">
      <w:pPr>
        <w:pStyle w:val="NormalOCAshurst"/>
        <w:ind w:left="360"/>
      </w:pPr>
      <w:r w:rsidRPr="00D861A3">
        <w:t>Section 1</w:t>
      </w:r>
      <w:r w:rsidRPr="00D861A3" w:rsidR="00430AAD">
        <w:t xml:space="preserve"> entitled "Warning" on pages 792 of the Original </w:t>
      </w:r>
      <w:r w:rsidRPr="00D861A3" w:rsidR="00430AAD">
        <w:rPr>
          <w:rFonts w:eastAsia="Microsoft JhengHei"/>
        </w:rPr>
        <w:t xml:space="preserve">Offering Circular </w:t>
      </w:r>
      <w:r w:rsidRPr="00D861A3" w:rsidR="00430AAD">
        <w:t>shall be deleted in its entirety and replaced with the following:</w:t>
      </w:r>
    </w:p>
    <w:p w:rsidRPr="00D861A3" w:rsidR="00430AAD" w:rsidP="00430AAD" w:rsidRDefault="00430AAD" w14:paraId="7C97EE4D" w14:textId="4D9C2B78">
      <w:pPr>
        <w:suppressAutoHyphens/>
        <w:spacing w:after="200" w:line="240" w:lineRule="auto"/>
        <w:ind w:left="1134" w:hanging="708"/>
        <w:jc w:val="left"/>
        <w:outlineLvl w:val="0"/>
        <w:rPr>
          <w:rFonts w:ascii="Times New Roman" w:hAnsi="Times New Roman" w:eastAsia="Microsoft JhengHei"/>
          <w:b/>
          <w:sz w:val="20"/>
          <w:szCs w:val="20"/>
        </w:rPr>
      </w:pPr>
      <w:r w:rsidRPr="00D861A3">
        <w:rPr>
          <w:rFonts w:ascii="Times New Roman" w:hAnsi="Times New Roman" w:eastAsia="Microsoft JhengHei"/>
          <w:bCs/>
          <w:sz w:val="20"/>
          <w:szCs w:val="20"/>
        </w:rPr>
        <w:t>"</w:t>
      </w:r>
      <w:r w:rsidRPr="00D861A3">
        <w:rPr>
          <w:rFonts w:ascii="Times New Roman" w:hAnsi="Times New Roman" w:eastAsia="Microsoft JhengHei"/>
          <w:b/>
          <w:sz w:val="20"/>
          <w:szCs w:val="20"/>
        </w:rPr>
        <w:t>1.</w:t>
      </w:r>
      <w:r w:rsidRPr="00D861A3">
        <w:rPr>
          <w:rFonts w:ascii="Times New Roman" w:hAnsi="Times New Roman" w:eastAsia="Microsoft JhengHei"/>
          <w:b/>
          <w:sz w:val="20"/>
          <w:szCs w:val="20"/>
        </w:rPr>
        <w:tab/>
        <w:t>Warning</w:t>
      </w:r>
    </w:p>
    <w:p w:rsidRPr="00D861A3" w:rsidR="00430AAD" w:rsidP="00430AAD" w:rsidRDefault="00430AAD" w14:paraId="6B9DE7E5" w14:textId="55569EC8">
      <w:pPr>
        <w:tabs>
          <w:tab w:val="left" w:pos="709"/>
          <w:tab w:val="left" w:pos="1276"/>
          <w:tab w:val="left" w:pos="1843"/>
          <w:tab w:val="left" w:pos="2410"/>
          <w:tab w:val="left" w:pos="2977"/>
          <w:tab w:val="left" w:pos="3544"/>
          <w:tab w:val="left" w:pos="4111"/>
        </w:tabs>
        <w:suppressAutoHyphens/>
        <w:spacing w:after="200" w:line="240" w:lineRule="auto"/>
        <w:ind w:left="1134"/>
        <w:rPr>
          <w:rFonts w:ascii="Times New Roman" w:hAnsi="Times New Roman" w:eastAsia="Microsoft JhengHei"/>
          <w:b/>
          <w:sz w:val="20"/>
          <w:szCs w:val="20"/>
        </w:rPr>
      </w:pPr>
      <w:r w:rsidRPr="00D861A3">
        <w:rPr>
          <w:rFonts w:ascii="Times New Roman" w:hAnsi="Times New Roman" w:eastAsia="Microsoft JhengHei"/>
          <w:b/>
          <w:sz w:val="20"/>
          <w:szCs w:val="20"/>
        </w:rPr>
        <w:t>This Offering Circular does not constitute a "prospectus" for the purposes of Article 8 of Regulation (EU) 2017/1129 (as amended, the "EU Prospectus Regulation"), and has been prepared on the basis that no prospectus shall be required under the EU Prospectus Regulation for any Securities to be offered and sold under it. This Offering Circular has not been approved or reviewed by any competent authority in the European Economic Area (the "EEA") or any other jurisdiction.</w:t>
      </w:r>
    </w:p>
    <w:p w:rsidRPr="00430AAD" w:rsidR="00430AAD" w:rsidP="00430AAD" w:rsidRDefault="00430AAD" w14:paraId="23D63A00" w14:textId="0ABB0D4D">
      <w:pPr>
        <w:tabs>
          <w:tab w:val="left" w:pos="709"/>
          <w:tab w:val="left" w:pos="1276"/>
          <w:tab w:val="left" w:pos="1843"/>
          <w:tab w:val="left" w:pos="2410"/>
          <w:tab w:val="left" w:pos="2977"/>
          <w:tab w:val="left" w:pos="3544"/>
          <w:tab w:val="left" w:pos="4111"/>
        </w:tabs>
        <w:suppressAutoHyphens/>
        <w:spacing w:after="200" w:line="240" w:lineRule="auto"/>
        <w:ind w:left="1134"/>
        <w:rPr>
          <w:rFonts w:ascii="Times New Roman" w:hAnsi="Times New Roman" w:eastAsia="Microsoft JhengHei"/>
          <w:b/>
          <w:sz w:val="20"/>
          <w:szCs w:val="20"/>
        </w:rPr>
      </w:pPr>
      <w:r w:rsidRPr="00D861A3">
        <w:rPr>
          <w:rFonts w:ascii="Times New Roman" w:hAnsi="Times New Roman" w:eastAsia="Microsoft JhengHei"/>
          <w:b/>
          <w:sz w:val="20"/>
          <w:szCs w:val="20"/>
        </w:rPr>
        <w:t>This Offering Circular does not constitute a "prospectus" for the purposes of either (a) Article 8 of Regulation (EU) 2017/1129 as it forms part of UK domestic law by virtue of the EUWA (as amended, the "UK Prospectus Regulation") or (b) the rules of the Financial Conduct Authority (the "FCA") in its Prospectus Rules: Admission to Trading on a Regulated Market sourcebook ("PRM") made under the Public Offers and Admissions to Trading Regulations 2024 (the "POATRs"), and has been prepared on the basis that no prospectus shall be required under either the UK Prospectus Regulation or the PRM for any Securities to be offered and sold under it. This Offering Circular has not been approved or reviewed by any competent authority in the United Kingdom or any other jurisdiction.</w:t>
      </w:r>
      <w:r w:rsidRPr="00D861A3">
        <w:rPr>
          <w:rFonts w:ascii="Times New Roman" w:hAnsi="Times New Roman" w:eastAsia="Microsoft JhengHei"/>
          <w:bCs/>
          <w:sz w:val="20"/>
          <w:szCs w:val="20"/>
        </w:rPr>
        <w:t>"</w:t>
      </w:r>
    </w:p>
    <w:p w:rsidR="00DF2ECD" w:rsidRDefault="00DF2ECD" w14:paraId="3574A057" w14:textId="4C3B1F98">
      <w:pPr>
        <w:spacing w:line="240" w:lineRule="auto"/>
        <w:jc w:val="left"/>
        <w:rPr>
          <w:rFonts w:ascii="Times New Roman" w:hAnsi="Times New Roman" w:eastAsiaTheme="minorEastAsia" w:cstheme="minorBidi"/>
          <w:sz w:val="20"/>
          <w:szCs w:val="24"/>
          <w:lang w:eastAsia="zh-TW"/>
        </w:rPr>
      </w:pPr>
    </w:p>
    <w:sectPr w:rsidR="00DF2ECD" w:rsidSect="0076470E">
      <w:pgSz w:w="11907" w:h="16840" w:code="9"/>
      <w:pgMar w:top="1440" w:right="1440" w:bottom="144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470F3" w:rsidRDefault="00F470F3" w14:paraId="00A38D31" w14:textId="77777777">
      <w:pPr>
        <w:spacing w:line="240" w:lineRule="auto"/>
      </w:pPr>
      <w:r>
        <w:separator/>
      </w:r>
    </w:p>
  </w:endnote>
  <w:endnote w:type="continuationSeparator" w:id="0">
    <w:p w:rsidR="00F470F3" w:rsidRDefault="00F470F3" w14:paraId="5D562B89"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panose1 w:val="020B0502040504020204"/>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64664" w:rsidRDefault="00D64664" w14:paraId="3F6B908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2766"/>
      <w:gridCol w:w="2766"/>
      <w:gridCol w:w="2775"/>
    </w:tblGrid>
    <w:tr w:rsidR="00B62A5C" w14:paraId="6AA3F0E1" w14:textId="77777777">
      <w:tc>
        <w:tcPr>
          <w:tcW w:w="1665" w:type="pct"/>
        </w:tcPr>
        <w:p w:rsidRPr="006D764B" w:rsidR="00E330F5" w:rsidRDefault="00E330F5" w14:paraId="1893A8EA" w14:textId="77777777">
          <w:pPr>
            <w:pStyle w:val="Footer"/>
          </w:pPr>
        </w:p>
      </w:tc>
      <w:tc>
        <w:tcPr>
          <w:tcW w:w="1665" w:type="pct"/>
        </w:tcPr>
        <w:p w:rsidRPr="00111806" w:rsidR="00E330F5" w:rsidP="00C03739" w:rsidRDefault="00E330F5" w14:paraId="73C3C54A" w14:textId="77777777">
          <w:pPr>
            <w:pStyle w:val="StandardAshurst"/>
            <w:jc w:val="center"/>
            <w:rPr>
              <w:rStyle w:val="PageNumber"/>
              <w:rFonts w:ascii="Times New Roman" w:hAnsi="Times New Roman"/>
            </w:rPr>
          </w:pPr>
        </w:p>
      </w:tc>
      <w:tc>
        <w:tcPr>
          <w:tcW w:w="1670" w:type="pct"/>
        </w:tcPr>
        <w:p w:rsidRPr="006D764B" w:rsidR="00E330F5" w:rsidRDefault="00E330F5" w14:paraId="38748F23" w14:textId="77777777">
          <w:pPr>
            <w:pStyle w:val="Footer"/>
          </w:pPr>
        </w:p>
      </w:tc>
    </w:tr>
    <w:tr w:rsidR="00B62A5C" w14:paraId="3830344A" w14:textId="77777777">
      <w:tc>
        <w:tcPr>
          <w:tcW w:w="5000" w:type="pct"/>
          <w:gridSpan w:val="3"/>
        </w:tcPr>
        <w:p w:rsidRPr="007A4167" w:rsidR="00E330F5" w:rsidP="000D436B" w:rsidRDefault="0090499F" w14:paraId="2E5CC64D" w14:textId="77777777">
          <w:pPr>
            <w:pStyle w:val="Footer"/>
            <w:jc w:val="center"/>
            <w:rPr>
              <w:rFonts w:ascii="Times New Roman" w:hAnsi="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rPr>
            <w:t>2</w:t>
          </w:r>
          <w:r w:rsidRPr="007A4167">
            <w:rPr>
              <w:rStyle w:val="PageNumber"/>
              <w:rFonts w:ascii="Times New Roman" w:hAnsi="Times New Roman" w:cs="Times New Roman"/>
            </w:rPr>
            <w:fldChar w:fldCharType="end"/>
          </w:r>
        </w:p>
      </w:tc>
    </w:tr>
  </w:tbl>
  <w:p w:rsidRPr="00454A6C" w:rsidR="00E330F5" w:rsidP="007A17D7" w:rsidRDefault="00E330F5" w14:paraId="2C52DD3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64664" w:rsidRDefault="00D64664" w14:paraId="5A133824"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88903" w14:textId="77777777">
      <w:tc>
        <w:tcPr>
          <w:tcW w:w="1665" w:type="pct"/>
        </w:tcPr>
        <w:p w:rsidRPr="00F538CF" w:rsidR="00E330F5" w:rsidRDefault="00E330F5" w14:paraId="4F76EC33" w14:textId="77777777">
          <w:pPr>
            <w:pStyle w:val="Footer"/>
          </w:pPr>
        </w:p>
      </w:tc>
      <w:tc>
        <w:tcPr>
          <w:tcW w:w="1665" w:type="pct"/>
        </w:tcPr>
        <w:p w:rsidRPr="00F538CF" w:rsidR="00E330F5" w:rsidP="0005548B" w:rsidRDefault="0090499F" w14:paraId="20503A25" w14:textId="77777777">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rsidRPr="00F538CF" w:rsidR="00E330F5" w:rsidRDefault="00E330F5" w14:paraId="40D35A35" w14:textId="77777777">
          <w:pPr>
            <w:pStyle w:val="Footer"/>
          </w:pPr>
        </w:p>
      </w:tc>
    </w:tr>
    <w:tr w:rsidR="00B62A5C" w14:paraId="002D4156" w14:textId="77777777">
      <w:tc>
        <w:tcPr>
          <w:tcW w:w="5000" w:type="pct"/>
          <w:gridSpan w:val="3"/>
        </w:tcPr>
        <w:p w:rsidRPr="00F538CF" w:rsidR="00E330F5" w:rsidRDefault="0090499F" w14:paraId="1EECDED5" w14:textId="72A4D44D">
          <w:pPr>
            <w:pStyle w:val="Footer"/>
          </w:pPr>
          <w:r w:rsidRPr="00F538CF">
            <w:fldChar w:fldCharType="begin"/>
          </w:r>
          <w:r>
            <w:instrText xml:space="preserve"> DOCPROPERTY  ashurstDocRef  \* MERGEFORMAT </w:instrText>
          </w:r>
          <w:r w:rsidRPr="00F538CF">
            <w:fldChar w:fldCharType="separate"/>
          </w:r>
          <w:r w:rsidR="00156180">
            <w:t>18:36\09 September 2025\EUS_ONPREM\JYOW\366138953.05</w:t>
          </w:r>
          <w:r w:rsidRPr="00F538CF">
            <w:fldChar w:fldCharType="end"/>
          </w:r>
        </w:p>
      </w:tc>
    </w:tr>
  </w:tbl>
  <w:p w:rsidRPr="00F538CF" w:rsidR="00E330F5" w:rsidP="00F538CF" w:rsidRDefault="00E330F5" w14:paraId="63303D4F"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2264914E" w14:textId="77777777">
      <w:tc>
        <w:tcPr>
          <w:tcW w:w="1665" w:type="pct"/>
        </w:tcPr>
        <w:p w:rsidRPr="007A4167" w:rsidR="00E330F5" w:rsidRDefault="00E330F5" w14:paraId="1E5900BC" w14:textId="77777777">
          <w:pPr>
            <w:pStyle w:val="Footer"/>
            <w:rPr>
              <w:rFonts w:ascii="Times New Roman" w:hAnsi="Times New Roman"/>
            </w:rPr>
          </w:pPr>
        </w:p>
      </w:tc>
      <w:tc>
        <w:tcPr>
          <w:tcW w:w="1665" w:type="pct"/>
        </w:tcPr>
        <w:p w:rsidRPr="007A4167" w:rsidR="00E330F5" w:rsidP="0005548B" w:rsidRDefault="0090499F" w14:paraId="577DFF51" w14:textId="77777777">
          <w:pPr>
            <w:pStyle w:val="StandardAshurst"/>
            <w:jc w:val="center"/>
            <w:rPr>
              <w:rStyle w:val="PageNumber"/>
              <w:rFonts w:ascii="Times New Roman" w:hAnsi="Times New Roman" w:cs="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noProof/>
            </w:rPr>
            <w:t>1</w:t>
          </w:r>
          <w:r w:rsidRPr="007A4167">
            <w:rPr>
              <w:rStyle w:val="PageNumber"/>
              <w:rFonts w:ascii="Times New Roman" w:hAnsi="Times New Roman" w:cs="Times New Roman"/>
            </w:rPr>
            <w:fldChar w:fldCharType="end"/>
          </w:r>
        </w:p>
      </w:tc>
      <w:tc>
        <w:tcPr>
          <w:tcW w:w="1670" w:type="pct"/>
        </w:tcPr>
        <w:p w:rsidRPr="007A4167" w:rsidR="00E330F5" w:rsidRDefault="00E330F5" w14:paraId="17B8AA28" w14:textId="77777777">
          <w:pPr>
            <w:pStyle w:val="Footer"/>
            <w:rPr>
              <w:rFonts w:ascii="Times New Roman" w:hAnsi="Times New Roman"/>
            </w:rPr>
          </w:pPr>
        </w:p>
      </w:tc>
    </w:tr>
    <w:tr w:rsidR="00B62A5C" w14:paraId="0562D7B3" w14:textId="77777777">
      <w:tc>
        <w:tcPr>
          <w:tcW w:w="5000" w:type="pct"/>
          <w:gridSpan w:val="3"/>
        </w:tcPr>
        <w:p w:rsidRPr="007A4167" w:rsidR="00E330F5" w:rsidRDefault="00E330F5" w14:paraId="07272FD6" w14:textId="77777777">
          <w:pPr>
            <w:pStyle w:val="Footer"/>
            <w:rPr>
              <w:rFonts w:ascii="Times New Roman" w:hAnsi="Times New Roman"/>
            </w:rPr>
          </w:pPr>
        </w:p>
      </w:tc>
    </w:tr>
  </w:tbl>
  <w:p w:rsidRPr="007A4167" w:rsidR="00E330F5" w:rsidP="00F538CF" w:rsidRDefault="00E330F5" w14:paraId="3BF98EEC" w14:textId="77777777">
    <w:pPr>
      <w:pStyle w:val="Footer"/>
      <w:rPr>
        <w:rFonts w:ascii="Times New Roman" w:hAnsi="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28E6E" w14:textId="77777777">
      <w:tc>
        <w:tcPr>
          <w:tcW w:w="1665" w:type="pct"/>
        </w:tcPr>
        <w:p w:rsidRPr="00F538CF" w:rsidR="00E330F5" w:rsidRDefault="00E330F5" w14:paraId="23EE4C60" w14:textId="77777777">
          <w:pPr>
            <w:pStyle w:val="Footer"/>
          </w:pPr>
        </w:p>
      </w:tc>
      <w:tc>
        <w:tcPr>
          <w:tcW w:w="1665" w:type="pct"/>
        </w:tcPr>
        <w:p w:rsidRPr="00F538CF" w:rsidR="00E330F5" w:rsidP="0005548B" w:rsidRDefault="0090499F" w14:paraId="07F4CE87" w14:textId="77777777">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rsidRPr="00F538CF" w:rsidR="00E330F5" w:rsidRDefault="00E330F5" w14:paraId="55A3C7BD" w14:textId="77777777">
          <w:pPr>
            <w:pStyle w:val="Footer"/>
          </w:pPr>
        </w:p>
      </w:tc>
    </w:tr>
    <w:tr w:rsidR="00B62A5C" w14:paraId="375872EB" w14:textId="77777777">
      <w:tc>
        <w:tcPr>
          <w:tcW w:w="5000" w:type="pct"/>
          <w:gridSpan w:val="3"/>
        </w:tcPr>
        <w:p w:rsidRPr="00F538CF" w:rsidR="00E330F5" w:rsidRDefault="0090499F" w14:paraId="398ED399" w14:textId="781A5E13">
          <w:pPr>
            <w:pStyle w:val="Footer"/>
          </w:pPr>
          <w:r w:rsidRPr="00F538CF">
            <w:fldChar w:fldCharType="begin"/>
          </w:r>
          <w:r>
            <w:instrText xml:space="preserve"> DOCPROPERTY  ashurstDocRef  \* MERGEFORMAT </w:instrText>
          </w:r>
          <w:r w:rsidRPr="00F538CF">
            <w:fldChar w:fldCharType="separate"/>
          </w:r>
          <w:r w:rsidR="00156180">
            <w:t>18:36\09 September 2025\EUS_ONPREM\JYOW\366138953.05</w:t>
          </w:r>
          <w:r w:rsidRPr="00F538CF">
            <w:fldChar w:fldCharType="end"/>
          </w:r>
        </w:p>
      </w:tc>
    </w:tr>
  </w:tbl>
  <w:p w:rsidRPr="00F538CF" w:rsidR="00E330F5" w:rsidP="00F538CF" w:rsidRDefault="00E330F5" w14:paraId="573D6F2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470F3" w:rsidRDefault="00F470F3" w14:paraId="5B3D1B39" w14:textId="77777777">
      <w:pPr>
        <w:spacing w:line="240" w:lineRule="auto"/>
      </w:pPr>
      <w:r>
        <w:separator/>
      </w:r>
    </w:p>
  </w:footnote>
  <w:footnote w:type="continuationSeparator" w:id="0">
    <w:p w:rsidR="00F470F3" w:rsidRDefault="00F470F3" w14:paraId="064EB504"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64664" w:rsidRDefault="00D64664" w14:paraId="2C63EC4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64664" w:rsidRDefault="00D64664" w14:paraId="1D6CBCD5"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64664" w:rsidRDefault="00D64664" w14:paraId="6A77A915"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538CF" w:rsidR="00E330F5" w:rsidRDefault="00E330F5" w14:paraId="4A05E4C6"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538CF" w:rsidR="00E330F5" w:rsidRDefault="00E330F5" w14:paraId="5C29906E"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538CF" w:rsidR="00E330F5" w:rsidRDefault="00E330F5" w14:paraId="6919034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17314"/>
    <w:multiLevelType w:val="multilevel"/>
    <w:tmpl w:val="C816984C"/>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1" w15:restartNumberingAfterBreak="0">
    <w:nsid w:val="045E4AD4"/>
    <w:multiLevelType w:val="multilevel"/>
    <w:tmpl w:val="ED22CB7C"/>
    <w:name w:val="NewTableNumOC"/>
    <w:lvl w:ilvl="0">
      <w:start w:val="1"/>
      <w:numFmt w:val="lowerLetter"/>
      <w:pStyle w:val="OCTable1Ashurst"/>
      <w:lvlText w:val="(%1)"/>
      <w:lvlJc w:val="left"/>
      <w:pPr>
        <w:tabs>
          <w:tab w:val="num" w:pos="-992"/>
        </w:tabs>
        <w:ind w:left="-992" w:hanging="709"/>
      </w:pPr>
      <w:rPr>
        <w:rFonts w:hint="default"/>
      </w:rPr>
    </w:lvl>
    <w:lvl w:ilvl="1">
      <w:start w:val="1"/>
      <w:numFmt w:val="lowerRoman"/>
      <w:pStyle w:val="OCTable2Ashurst"/>
      <w:lvlText w:val="(%2)"/>
      <w:lvlJc w:val="left"/>
      <w:pPr>
        <w:tabs>
          <w:tab w:val="num" w:pos="-425"/>
        </w:tabs>
        <w:ind w:left="-425" w:hanging="567"/>
      </w:pPr>
      <w:rPr>
        <w:rFonts w:hint="default"/>
      </w:rPr>
    </w:lvl>
    <w:lvl w:ilvl="2">
      <w:start w:val="1"/>
      <w:numFmt w:val="upperLetter"/>
      <w:pStyle w:val="OCTable3Ashurst"/>
      <w:lvlText w:val="(%3)"/>
      <w:lvlJc w:val="left"/>
      <w:pPr>
        <w:tabs>
          <w:tab w:val="num" w:pos="142"/>
        </w:tabs>
        <w:ind w:left="142" w:hanging="567"/>
      </w:pPr>
      <w:rPr>
        <w:rFonts w:hint="default"/>
      </w:rPr>
    </w:lvl>
    <w:lvl w:ilvl="3">
      <w:start w:val="1"/>
      <w:numFmt w:val="decimal"/>
      <w:pStyle w:val="OCTable4Ashurst"/>
      <w:lvlText w:val="(%4)"/>
      <w:lvlJc w:val="left"/>
      <w:pPr>
        <w:tabs>
          <w:tab w:val="num" w:pos="709"/>
        </w:tabs>
        <w:ind w:left="709" w:hanging="567"/>
      </w:pPr>
      <w:rPr>
        <w:rFonts w:hint="default"/>
      </w:rPr>
    </w:lvl>
    <w:lvl w:ilvl="4">
      <w:start w:val="1"/>
      <w:numFmt w:val="none"/>
      <w:lvlText w:val=""/>
      <w:lvlJc w:val="left"/>
      <w:pPr>
        <w:ind w:left="-1701" w:firstLine="0"/>
      </w:pPr>
      <w:rPr>
        <w:rFonts w:hint="default"/>
      </w:rPr>
    </w:lvl>
    <w:lvl w:ilvl="5">
      <w:start w:val="1"/>
      <w:numFmt w:val="none"/>
      <w:lvlText w:val=""/>
      <w:lvlJc w:val="left"/>
      <w:pPr>
        <w:ind w:left="-1701" w:firstLine="0"/>
      </w:pPr>
      <w:rPr>
        <w:rFonts w:hint="default"/>
      </w:rPr>
    </w:lvl>
    <w:lvl w:ilvl="6">
      <w:start w:val="1"/>
      <w:numFmt w:val="none"/>
      <w:lvlText w:val=""/>
      <w:lvlJc w:val="left"/>
      <w:pPr>
        <w:ind w:left="-1701" w:firstLine="0"/>
      </w:pPr>
      <w:rPr>
        <w:rFonts w:hint="default"/>
      </w:rPr>
    </w:lvl>
    <w:lvl w:ilvl="7">
      <w:start w:val="1"/>
      <w:numFmt w:val="none"/>
      <w:lvlText w:val=""/>
      <w:lvlJc w:val="left"/>
      <w:pPr>
        <w:ind w:left="-1701" w:firstLine="0"/>
      </w:pPr>
      <w:rPr>
        <w:rFonts w:hint="default"/>
      </w:rPr>
    </w:lvl>
    <w:lvl w:ilvl="8">
      <w:start w:val="1"/>
      <w:numFmt w:val="lowerRoman"/>
      <w:lvlText w:val="%9."/>
      <w:lvlJc w:val="left"/>
      <w:pPr>
        <w:ind w:left="31068" w:firstLine="0"/>
      </w:pPr>
      <w:rPr>
        <w:rFonts w:hint="default"/>
      </w:rPr>
    </w:lvl>
  </w:abstractNum>
  <w:abstractNum w:abstractNumId="12" w15:restartNumberingAfterBreak="0">
    <w:nsid w:val="094A0D3F"/>
    <w:multiLevelType w:val="hybridMultilevel"/>
    <w:tmpl w:val="3968D1D6"/>
    <w:lvl w:ilvl="0" w:tplc="C9266152">
      <w:start w:val="1"/>
      <w:numFmt w:val="bullet"/>
      <w:pStyle w:val="Bullet2Ashurst"/>
      <w:lvlText w:val=""/>
      <w:lvlJc w:val="left"/>
      <w:pPr>
        <w:tabs>
          <w:tab w:val="num" w:pos="1406"/>
        </w:tabs>
        <w:ind w:left="1406" w:hanging="624"/>
      </w:pPr>
      <w:rPr>
        <w:rFonts w:ascii="Symbol" w:hAnsi="Symbol" w:hint="default"/>
        <w:b w:val="0"/>
        <w:i w:val="0"/>
        <w:sz w:val="18"/>
        <w:szCs w:val="18"/>
      </w:rPr>
    </w:lvl>
    <w:lvl w:ilvl="1" w:tplc="0D92090A" w:tentative="1">
      <w:start w:val="1"/>
      <w:numFmt w:val="bullet"/>
      <w:lvlText w:val="o"/>
      <w:lvlJc w:val="left"/>
      <w:pPr>
        <w:tabs>
          <w:tab w:val="num" w:pos="1440"/>
        </w:tabs>
        <w:ind w:left="1440" w:hanging="360"/>
      </w:pPr>
      <w:rPr>
        <w:rFonts w:ascii="Courier New" w:hAnsi="Courier New" w:cs="Courier New" w:hint="default"/>
      </w:rPr>
    </w:lvl>
    <w:lvl w:ilvl="2" w:tplc="2916ABD8" w:tentative="1">
      <w:start w:val="1"/>
      <w:numFmt w:val="bullet"/>
      <w:lvlText w:val=""/>
      <w:lvlJc w:val="left"/>
      <w:pPr>
        <w:tabs>
          <w:tab w:val="num" w:pos="2160"/>
        </w:tabs>
        <w:ind w:left="2160" w:hanging="360"/>
      </w:pPr>
      <w:rPr>
        <w:rFonts w:ascii="Wingdings" w:hAnsi="Wingdings" w:hint="default"/>
      </w:rPr>
    </w:lvl>
    <w:lvl w:ilvl="3" w:tplc="08CE1E70" w:tentative="1">
      <w:start w:val="1"/>
      <w:numFmt w:val="bullet"/>
      <w:lvlText w:val=""/>
      <w:lvlJc w:val="left"/>
      <w:pPr>
        <w:tabs>
          <w:tab w:val="num" w:pos="2880"/>
        </w:tabs>
        <w:ind w:left="2880" w:hanging="360"/>
      </w:pPr>
      <w:rPr>
        <w:rFonts w:ascii="Symbol" w:hAnsi="Symbol" w:hint="default"/>
      </w:rPr>
    </w:lvl>
    <w:lvl w:ilvl="4" w:tplc="019618E2" w:tentative="1">
      <w:start w:val="1"/>
      <w:numFmt w:val="bullet"/>
      <w:lvlText w:val="o"/>
      <w:lvlJc w:val="left"/>
      <w:pPr>
        <w:tabs>
          <w:tab w:val="num" w:pos="3600"/>
        </w:tabs>
        <w:ind w:left="3600" w:hanging="360"/>
      </w:pPr>
      <w:rPr>
        <w:rFonts w:ascii="Courier New" w:hAnsi="Courier New" w:cs="Courier New" w:hint="default"/>
      </w:rPr>
    </w:lvl>
    <w:lvl w:ilvl="5" w:tplc="DCB475E4" w:tentative="1">
      <w:start w:val="1"/>
      <w:numFmt w:val="bullet"/>
      <w:lvlText w:val=""/>
      <w:lvlJc w:val="left"/>
      <w:pPr>
        <w:tabs>
          <w:tab w:val="num" w:pos="4320"/>
        </w:tabs>
        <w:ind w:left="4320" w:hanging="360"/>
      </w:pPr>
      <w:rPr>
        <w:rFonts w:ascii="Wingdings" w:hAnsi="Wingdings" w:hint="default"/>
      </w:rPr>
    </w:lvl>
    <w:lvl w:ilvl="6" w:tplc="2A961CC0" w:tentative="1">
      <w:start w:val="1"/>
      <w:numFmt w:val="bullet"/>
      <w:lvlText w:val=""/>
      <w:lvlJc w:val="left"/>
      <w:pPr>
        <w:tabs>
          <w:tab w:val="num" w:pos="5040"/>
        </w:tabs>
        <w:ind w:left="5040" w:hanging="360"/>
      </w:pPr>
      <w:rPr>
        <w:rFonts w:ascii="Symbol" w:hAnsi="Symbol" w:hint="default"/>
      </w:rPr>
    </w:lvl>
    <w:lvl w:ilvl="7" w:tplc="5A56E89A" w:tentative="1">
      <w:start w:val="1"/>
      <w:numFmt w:val="bullet"/>
      <w:lvlText w:val="o"/>
      <w:lvlJc w:val="left"/>
      <w:pPr>
        <w:tabs>
          <w:tab w:val="num" w:pos="5760"/>
        </w:tabs>
        <w:ind w:left="5760" w:hanging="360"/>
      </w:pPr>
      <w:rPr>
        <w:rFonts w:ascii="Courier New" w:hAnsi="Courier New" w:cs="Courier New" w:hint="default"/>
      </w:rPr>
    </w:lvl>
    <w:lvl w:ilvl="8" w:tplc="E45AD61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D303A8"/>
    <w:multiLevelType w:val="multilevel"/>
    <w:tmpl w:val="08090023"/>
    <w:styleLink w:val="ArticleSection1"/>
    <w:lvl w:ilvl="0">
      <w:start w:val="1"/>
      <w:numFmt w:val="upperRoman"/>
      <w:lvlText w:val="Article %1."/>
      <w:lvlJc w:val="left"/>
      <w:pPr>
        <w:ind w:left="0" w:firstLine="0"/>
      </w:pPr>
      <w:rPr>
        <w:rFonts w:asciiTheme="minorHAnsi" w:eastAsiaTheme="minorEastAsia"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A21331E"/>
    <w:multiLevelType w:val="multilevel"/>
    <w:tmpl w:val="F89AD8C6"/>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5" w15:restartNumberingAfterBreak="0">
    <w:nsid w:val="0B3F2518"/>
    <w:multiLevelType w:val="multilevel"/>
    <w:tmpl w:val="EC122AD6"/>
    <w:name w:val="DefSubOC"/>
    <w:lvl w:ilvl="0">
      <w:start w:val="1"/>
      <w:numFmt w:val="none"/>
      <w:pStyle w:val="DefClauseOCAshurst"/>
      <w:suff w:val="nothing"/>
      <w:lvlText w:val=""/>
      <w:lvlJc w:val="left"/>
      <w:pPr>
        <w:ind w:left="0" w:firstLine="0"/>
      </w:pPr>
      <w:rPr>
        <w:rFonts w:hint="default"/>
      </w:rPr>
    </w:lvl>
    <w:lvl w:ilvl="1">
      <w:start w:val="1"/>
      <w:numFmt w:val="lowerLetter"/>
      <w:pStyle w:val="DefSubOCAshurst"/>
      <w:lvlText w:val="(%2)"/>
      <w:lvlJc w:val="left"/>
      <w:pPr>
        <w:tabs>
          <w:tab w:val="num" w:pos="709"/>
        </w:tabs>
        <w:ind w:left="709" w:hanging="709"/>
      </w:pPr>
      <w:rPr>
        <w:rFonts w:hint="default"/>
      </w:rPr>
    </w:lvl>
    <w:lvl w:ilvl="2">
      <w:start w:val="1"/>
      <w:numFmt w:val="lowerRoman"/>
      <w:pStyle w:val="DefSubSubOCAshurst"/>
      <w:lvlText w:val="(%3)"/>
      <w:lvlJc w:val="left"/>
      <w:pPr>
        <w:tabs>
          <w:tab w:val="num" w:pos="1276"/>
        </w:tabs>
        <w:ind w:left="1276" w:hanging="567"/>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0F5433D4"/>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0F77C36"/>
    <w:multiLevelType w:val="hybridMultilevel"/>
    <w:tmpl w:val="0804BDDA"/>
    <w:lvl w:ilvl="0" w:tplc="58BEE1B6">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8D488E40" w:tentative="1">
      <w:start w:val="1"/>
      <w:numFmt w:val="bullet"/>
      <w:lvlText w:val="o"/>
      <w:lvlJc w:val="left"/>
      <w:pPr>
        <w:tabs>
          <w:tab w:val="num" w:pos="1440"/>
        </w:tabs>
        <w:ind w:left="1440" w:hanging="360"/>
      </w:pPr>
      <w:rPr>
        <w:rFonts w:ascii="Courier New" w:hAnsi="Courier New" w:cs="Courier New" w:hint="default"/>
      </w:rPr>
    </w:lvl>
    <w:lvl w:ilvl="2" w:tplc="9C3C5172" w:tentative="1">
      <w:start w:val="1"/>
      <w:numFmt w:val="bullet"/>
      <w:lvlText w:val=""/>
      <w:lvlJc w:val="left"/>
      <w:pPr>
        <w:tabs>
          <w:tab w:val="num" w:pos="2160"/>
        </w:tabs>
        <w:ind w:left="2160" w:hanging="360"/>
      </w:pPr>
      <w:rPr>
        <w:rFonts w:ascii="Wingdings" w:hAnsi="Wingdings" w:hint="default"/>
      </w:rPr>
    </w:lvl>
    <w:lvl w:ilvl="3" w:tplc="024A20DC" w:tentative="1">
      <w:start w:val="1"/>
      <w:numFmt w:val="bullet"/>
      <w:lvlText w:val=""/>
      <w:lvlJc w:val="left"/>
      <w:pPr>
        <w:tabs>
          <w:tab w:val="num" w:pos="2880"/>
        </w:tabs>
        <w:ind w:left="2880" w:hanging="360"/>
      </w:pPr>
      <w:rPr>
        <w:rFonts w:ascii="Symbol" w:hAnsi="Symbol" w:hint="default"/>
      </w:rPr>
    </w:lvl>
    <w:lvl w:ilvl="4" w:tplc="210665EE" w:tentative="1">
      <w:start w:val="1"/>
      <w:numFmt w:val="bullet"/>
      <w:lvlText w:val="o"/>
      <w:lvlJc w:val="left"/>
      <w:pPr>
        <w:tabs>
          <w:tab w:val="num" w:pos="3600"/>
        </w:tabs>
        <w:ind w:left="3600" w:hanging="360"/>
      </w:pPr>
      <w:rPr>
        <w:rFonts w:ascii="Courier New" w:hAnsi="Courier New" w:cs="Courier New" w:hint="default"/>
      </w:rPr>
    </w:lvl>
    <w:lvl w:ilvl="5" w:tplc="F7EA6C30" w:tentative="1">
      <w:start w:val="1"/>
      <w:numFmt w:val="bullet"/>
      <w:lvlText w:val=""/>
      <w:lvlJc w:val="left"/>
      <w:pPr>
        <w:tabs>
          <w:tab w:val="num" w:pos="4320"/>
        </w:tabs>
        <w:ind w:left="4320" w:hanging="360"/>
      </w:pPr>
      <w:rPr>
        <w:rFonts w:ascii="Wingdings" w:hAnsi="Wingdings" w:hint="default"/>
      </w:rPr>
    </w:lvl>
    <w:lvl w:ilvl="6" w:tplc="FBB601BE" w:tentative="1">
      <w:start w:val="1"/>
      <w:numFmt w:val="bullet"/>
      <w:lvlText w:val=""/>
      <w:lvlJc w:val="left"/>
      <w:pPr>
        <w:tabs>
          <w:tab w:val="num" w:pos="5040"/>
        </w:tabs>
        <w:ind w:left="5040" w:hanging="360"/>
      </w:pPr>
      <w:rPr>
        <w:rFonts w:ascii="Symbol" w:hAnsi="Symbol" w:hint="default"/>
      </w:rPr>
    </w:lvl>
    <w:lvl w:ilvl="7" w:tplc="4C0CF6D0" w:tentative="1">
      <w:start w:val="1"/>
      <w:numFmt w:val="bullet"/>
      <w:lvlText w:val="o"/>
      <w:lvlJc w:val="left"/>
      <w:pPr>
        <w:tabs>
          <w:tab w:val="num" w:pos="5760"/>
        </w:tabs>
        <w:ind w:left="5760" w:hanging="360"/>
      </w:pPr>
      <w:rPr>
        <w:rFonts w:ascii="Courier New" w:hAnsi="Courier New" w:cs="Courier New" w:hint="default"/>
      </w:rPr>
    </w:lvl>
    <w:lvl w:ilvl="8" w:tplc="0ECE624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05088"/>
    <w:multiLevelType w:val="multilevel"/>
    <w:tmpl w:val="54665EE0"/>
    <w:lvl w:ilvl="0">
      <w:start w:val="1"/>
      <w:numFmt w:val="decimal"/>
      <w:pStyle w:val="AltH1OCAshurst"/>
      <w:lvlText w:val="%1."/>
      <w:lvlJc w:val="left"/>
      <w:pPr>
        <w:tabs>
          <w:tab w:val="num" w:pos="709"/>
        </w:tabs>
        <w:ind w:left="709" w:hanging="709"/>
      </w:pPr>
      <w:rPr>
        <w:rFonts w:hint="default"/>
        <w:b w:val="0"/>
        <w:i w:val="0"/>
        <w:color w:val="auto"/>
      </w:rPr>
    </w:lvl>
    <w:lvl w:ilvl="1">
      <w:start w:val="1"/>
      <w:numFmt w:val="decimal"/>
      <w:pStyle w:val="AltH2OCAshurst"/>
      <w:lvlText w:val="%1.%2"/>
      <w:lvlJc w:val="left"/>
      <w:pPr>
        <w:tabs>
          <w:tab w:val="num" w:pos="709"/>
        </w:tabs>
        <w:ind w:left="709" w:hanging="709"/>
      </w:pPr>
      <w:rPr>
        <w:rFonts w:hint="default"/>
        <w:b w:val="0"/>
        <w:i w:val="0"/>
      </w:rPr>
    </w:lvl>
    <w:lvl w:ilvl="2">
      <w:start w:val="1"/>
      <w:numFmt w:val="lowerLetter"/>
      <w:pStyle w:val="AltH3OCAshurst"/>
      <w:lvlText w:val="(%3)"/>
      <w:lvlJc w:val="left"/>
      <w:pPr>
        <w:tabs>
          <w:tab w:val="num" w:pos="709"/>
        </w:tabs>
        <w:ind w:left="709" w:hanging="709"/>
      </w:pPr>
      <w:rPr>
        <w:rFonts w:hint="default"/>
        <w:b w:val="0"/>
        <w:i w:val="0"/>
        <w:color w:val="auto"/>
      </w:rPr>
    </w:lvl>
    <w:lvl w:ilvl="3">
      <w:start w:val="1"/>
      <w:numFmt w:val="lowerRoman"/>
      <w:pStyle w:val="AltH4OCAshurst"/>
      <w:lvlText w:val="(%4)"/>
      <w:lvlJc w:val="left"/>
      <w:pPr>
        <w:tabs>
          <w:tab w:val="num" w:pos="1276"/>
        </w:tabs>
        <w:ind w:left="1276" w:hanging="567"/>
      </w:pPr>
      <w:rPr>
        <w:rFonts w:hint="default"/>
        <w:b w:val="0"/>
        <w:i w:val="0"/>
      </w:rPr>
    </w:lvl>
    <w:lvl w:ilvl="4">
      <w:start w:val="1"/>
      <w:numFmt w:val="upperLetter"/>
      <w:pStyle w:val="AltH5OCAshurst"/>
      <w:lvlText w:val="(%5)"/>
      <w:lvlJc w:val="left"/>
      <w:pPr>
        <w:tabs>
          <w:tab w:val="num" w:pos="1843"/>
        </w:tabs>
        <w:ind w:left="1843" w:hanging="567"/>
      </w:pPr>
      <w:rPr>
        <w:rFonts w:hint="default"/>
        <w:b w:val="0"/>
        <w:i w:val="0"/>
        <w:color w:val="auto"/>
      </w:rPr>
    </w:lvl>
    <w:lvl w:ilvl="5">
      <w:start w:val="1"/>
      <w:numFmt w:val="decimal"/>
      <w:pStyle w:val="AltH6OCAshurst"/>
      <w:lvlText w:val="(%6)"/>
      <w:lvlJc w:val="left"/>
      <w:pPr>
        <w:tabs>
          <w:tab w:val="num" w:pos="2410"/>
        </w:tabs>
        <w:ind w:left="2410" w:hanging="567"/>
      </w:pPr>
      <w:rPr>
        <w:rFonts w:hint="default"/>
        <w:b w:val="0"/>
        <w:i w:val="0"/>
      </w:rPr>
    </w:lvl>
    <w:lvl w:ilvl="6">
      <w:start w:val="1"/>
      <w:numFmt w:val="lowerLetter"/>
      <w:pStyle w:val="AltH7OCAshurst"/>
      <w:lvlText w:val="(%7)"/>
      <w:lvlJc w:val="left"/>
      <w:pPr>
        <w:tabs>
          <w:tab w:val="num" w:pos="2977"/>
        </w:tabs>
        <w:ind w:left="2977" w:hanging="567"/>
      </w:pPr>
      <w:rPr>
        <w:rFonts w:hint="default"/>
        <w:b w:val="0"/>
        <w:i w:val="0"/>
      </w:rPr>
    </w:lvl>
    <w:lvl w:ilvl="7">
      <w:start w:val="1"/>
      <w:numFmt w:val="lowerRoman"/>
      <w:pStyle w:val="AltH8OCAshurst"/>
      <w:lvlText w:val="(%8)"/>
      <w:lvlJc w:val="left"/>
      <w:pPr>
        <w:tabs>
          <w:tab w:val="num" w:pos="3544"/>
        </w:tabs>
        <w:ind w:left="3544" w:hanging="567"/>
      </w:pPr>
      <w:rPr>
        <w:rFonts w:hint="default"/>
        <w:b w:val="0"/>
        <w:i w:val="0"/>
      </w:rPr>
    </w:lvl>
    <w:lvl w:ilvl="8">
      <w:numFmt w:val="none"/>
      <w:lvlText w:val=""/>
      <w:lvlJc w:val="left"/>
      <w:pPr>
        <w:tabs>
          <w:tab w:val="num" w:pos="0"/>
        </w:tabs>
        <w:ind w:left="0" w:firstLine="0"/>
      </w:pPr>
      <w:rPr>
        <w:rFonts w:hint="default"/>
      </w:rPr>
    </w:lvl>
  </w:abstractNum>
  <w:abstractNum w:abstractNumId="19"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20" w15:restartNumberingAfterBreak="0">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21" w15:restartNumberingAfterBreak="0">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265377C"/>
    <w:multiLevelType w:val="multilevel"/>
    <w:tmpl w:val="93BE6644"/>
    <w:lvl w:ilvl="0">
      <w:start w:val="1"/>
      <w:numFmt w:val="decimal"/>
      <w:pStyle w:val="H1OCAshurst"/>
      <w:lvlText w:val="%1."/>
      <w:lvlJc w:val="left"/>
      <w:pPr>
        <w:tabs>
          <w:tab w:val="num" w:pos="709"/>
        </w:tabs>
        <w:ind w:left="709" w:hanging="709"/>
      </w:pPr>
      <w:rPr>
        <w:rFonts w:hint="default"/>
        <w:b w:val="0"/>
        <w:i w:val="0"/>
      </w:rPr>
    </w:lvl>
    <w:lvl w:ilvl="1">
      <w:start w:val="1"/>
      <w:numFmt w:val="decimal"/>
      <w:pStyle w:val="H2OCAshurst"/>
      <w:lvlText w:val="%1.%2"/>
      <w:lvlJc w:val="left"/>
      <w:pPr>
        <w:tabs>
          <w:tab w:val="num" w:pos="709"/>
        </w:tabs>
        <w:ind w:left="709" w:hanging="709"/>
      </w:pPr>
      <w:rPr>
        <w:rFonts w:hint="default"/>
        <w:b w:val="0"/>
        <w:i w:val="0"/>
      </w:rPr>
    </w:lvl>
    <w:lvl w:ilvl="2">
      <w:start w:val="1"/>
      <w:numFmt w:val="lowerLetter"/>
      <w:pStyle w:val="H3OCAshurst"/>
      <w:lvlText w:val="(%3)"/>
      <w:lvlJc w:val="left"/>
      <w:pPr>
        <w:tabs>
          <w:tab w:val="num" w:pos="709"/>
        </w:tabs>
        <w:ind w:left="709" w:hanging="709"/>
      </w:pPr>
      <w:rPr>
        <w:rFonts w:hint="default"/>
        <w:b w:val="0"/>
        <w:i w:val="0"/>
      </w:rPr>
    </w:lvl>
    <w:lvl w:ilvl="3">
      <w:start w:val="1"/>
      <w:numFmt w:val="lowerRoman"/>
      <w:pStyle w:val="H4OCAshurst"/>
      <w:lvlText w:val="(%4)"/>
      <w:lvlJc w:val="left"/>
      <w:pPr>
        <w:tabs>
          <w:tab w:val="num" w:pos="1276"/>
        </w:tabs>
        <w:ind w:left="1276" w:hanging="567"/>
      </w:pPr>
      <w:rPr>
        <w:rFonts w:hint="default"/>
        <w:b w:val="0"/>
        <w:i w:val="0"/>
      </w:rPr>
    </w:lvl>
    <w:lvl w:ilvl="4">
      <w:start w:val="1"/>
      <w:numFmt w:val="upperLetter"/>
      <w:pStyle w:val="H5OCAshurst"/>
      <w:lvlText w:val="(%5)"/>
      <w:lvlJc w:val="left"/>
      <w:pPr>
        <w:tabs>
          <w:tab w:val="num" w:pos="1843"/>
        </w:tabs>
        <w:ind w:left="1843" w:hanging="567"/>
      </w:pPr>
      <w:rPr>
        <w:rFonts w:hint="default"/>
        <w:b w:val="0"/>
        <w:i w:val="0"/>
      </w:rPr>
    </w:lvl>
    <w:lvl w:ilvl="5">
      <w:start w:val="1"/>
      <w:numFmt w:val="decimal"/>
      <w:pStyle w:val="H6OCAshurst"/>
      <w:lvlText w:val="(%6)"/>
      <w:lvlJc w:val="left"/>
      <w:pPr>
        <w:tabs>
          <w:tab w:val="num" w:pos="2410"/>
        </w:tabs>
        <w:ind w:left="2410" w:hanging="567"/>
      </w:pPr>
      <w:rPr>
        <w:rFonts w:hint="default"/>
        <w:b w:val="0"/>
        <w:i w:val="0"/>
      </w:rPr>
    </w:lvl>
    <w:lvl w:ilvl="6">
      <w:start w:val="1"/>
      <w:numFmt w:val="lowerLetter"/>
      <w:pStyle w:val="H7OCAshurst"/>
      <w:lvlText w:val="(%7)"/>
      <w:lvlJc w:val="left"/>
      <w:pPr>
        <w:tabs>
          <w:tab w:val="num" w:pos="2977"/>
        </w:tabs>
        <w:ind w:left="2977" w:hanging="567"/>
      </w:pPr>
      <w:rPr>
        <w:rFonts w:hint="default"/>
        <w:b w:val="0"/>
        <w:i w:val="0"/>
      </w:rPr>
    </w:lvl>
    <w:lvl w:ilvl="7">
      <w:start w:val="1"/>
      <w:numFmt w:val="upperRoman"/>
      <w:pStyle w:val="H8OCAshurst"/>
      <w:lvlText w:val="(%8)"/>
      <w:lvlJc w:val="left"/>
      <w:pPr>
        <w:tabs>
          <w:tab w:val="num" w:pos="3544"/>
        </w:tabs>
        <w:ind w:left="3544" w:hanging="567"/>
      </w:pPr>
      <w:rPr>
        <w:rFonts w:hint="default"/>
        <w:b w:val="0"/>
        <w:i w:val="0"/>
        <w:sz w:val="20"/>
      </w:rPr>
    </w:lvl>
    <w:lvl w:ilvl="8">
      <w:start w:val="1"/>
      <w:numFmt w:val="none"/>
      <w:lvlText w:val=""/>
      <w:lvlJc w:val="left"/>
      <w:pPr>
        <w:tabs>
          <w:tab w:val="num" w:pos="0"/>
        </w:tabs>
        <w:ind w:left="0" w:firstLine="0"/>
      </w:pPr>
      <w:rPr>
        <w:rFonts w:hint="default"/>
      </w:rPr>
    </w:lvl>
  </w:abstractNum>
  <w:abstractNum w:abstractNumId="23" w15:restartNumberingAfterBreak="0">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9D34DD1"/>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26" w15:restartNumberingAfterBreak="0">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CFF7910"/>
    <w:multiLevelType w:val="multilevel"/>
    <w:tmpl w:val="663C9EFA"/>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9"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0" w15:restartNumberingAfterBreak="0">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700BAE"/>
    <w:multiLevelType w:val="hybridMultilevel"/>
    <w:tmpl w:val="049AE188"/>
    <w:lvl w:ilvl="0" w:tplc="0809000F">
      <w:start w:val="1"/>
      <w:numFmt w:val="decimal"/>
      <w:lvlText w:val="%1."/>
      <w:lvlJc w:val="left"/>
      <w:pPr>
        <w:ind w:left="360" w:hanging="360"/>
      </w:pPr>
    </w:lvl>
    <w:lvl w:ilvl="1" w:tplc="2C68181C">
      <w:start w:val="1"/>
      <w:numFmt w:val="lowerLetter"/>
      <w:lvlText w:val="(%2)"/>
      <w:lvlJc w:val="left"/>
      <w:pPr>
        <w:ind w:left="1080" w:hanging="360"/>
      </w:pPr>
      <w:rPr>
        <w:rFonts w:hint="default"/>
      </w:rPr>
    </w:lvl>
    <w:lvl w:ilvl="2" w:tplc="A5B47002">
      <w:start w:val="1"/>
      <w:numFmt w:val="lowerRoman"/>
      <w:lvlText w:val="(%3)"/>
      <w:lvlJc w:val="left"/>
      <w:pPr>
        <w:ind w:left="1980" w:hanging="36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D7538B"/>
    <w:multiLevelType w:val="hybridMultilevel"/>
    <w:tmpl w:val="40DE0D9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6"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7" w15:restartNumberingAfterBreak="0">
    <w:nsid w:val="44302431"/>
    <w:multiLevelType w:val="multilevel"/>
    <w:tmpl w:val="1DBE7566"/>
    <w:lvl w:ilvl="0">
      <w:start w:val="1"/>
      <w:numFmt w:val="decimal"/>
      <w:pStyle w:val="TableNum1OCAshurst"/>
      <w:suff w:val="nothing"/>
      <w:lvlText w:val="%1."/>
      <w:lvlJc w:val="left"/>
      <w:pPr>
        <w:ind w:left="0" w:firstLine="0"/>
      </w:pPr>
      <w:rPr>
        <w:rFonts w:hint="default"/>
        <w:b w:val="0"/>
        <w:i w:val="0"/>
        <w:sz w:val="18"/>
      </w:rPr>
    </w:lvl>
    <w:lvl w:ilvl="1">
      <w:start w:val="1"/>
      <w:numFmt w:val="decimal"/>
      <w:pStyle w:val="TableNum2OCAshurst"/>
      <w:suff w:val="nothing"/>
      <w:lvlText w:val="%1.%2"/>
      <w:lvlJc w:val="left"/>
      <w:pPr>
        <w:ind w:left="0" w:firstLine="0"/>
      </w:pPr>
      <w:rPr>
        <w:rFonts w:hint="default"/>
        <w:b w:val="0"/>
        <w:i w:val="0"/>
        <w:sz w:val="18"/>
        <w:szCs w:val="18"/>
      </w:rPr>
    </w:lvl>
    <w:lvl w:ilvl="2">
      <w:start w:val="1"/>
      <w:numFmt w:val="lowerLetter"/>
      <w:pStyle w:val="TableNum3OCAshurst"/>
      <w:suff w:val="nothing"/>
      <w:lvlText w:val="(%3)"/>
      <w:lvlJc w:val="left"/>
      <w:pPr>
        <w:ind w:left="0" w:firstLine="0"/>
      </w:pPr>
      <w:rPr>
        <w:rFonts w:hint="default"/>
        <w:b w:val="0"/>
        <w:i w:val="0"/>
        <w:sz w:val="18"/>
        <w:szCs w:val="18"/>
      </w:rPr>
    </w:lvl>
    <w:lvl w:ilvl="3">
      <w:start w:val="1"/>
      <w:numFmt w:val="lowerRoman"/>
      <w:pStyle w:val="TableNum4OCAshurst"/>
      <w:suff w:val="nothing"/>
      <w:lvlText w:val="(%4)"/>
      <w:lvlJc w:val="left"/>
      <w:pPr>
        <w:ind w:left="0" w:firstLine="0"/>
      </w:pPr>
      <w:rPr>
        <w:rFonts w:hint="default"/>
        <w:b w:val="0"/>
        <w:i w:val="0"/>
        <w:sz w:val="20"/>
        <w:szCs w:val="20"/>
      </w:rPr>
    </w:lvl>
    <w:lvl w:ilvl="4">
      <w:start w:val="1"/>
      <w:numFmt w:val="upperLetter"/>
      <w:pStyle w:val="TableNum5OCAshurst"/>
      <w:suff w:val="nothing"/>
      <w:lvlText w:val="(%5)"/>
      <w:lvlJc w:val="left"/>
      <w:pPr>
        <w:ind w:left="0" w:firstLine="0"/>
      </w:pPr>
      <w:rPr>
        <w:rFonts w:hint="default"/>
        <w:b w:val="0"/>
        <w:i w:val="0"/>
        <w:sz w:val="18"/>
        <w:szCs w:val="18"/>
      </w:rPr>
    </w:lvl>
    <w:lvl w:ilvl="5">
      <w:start w:val="1"/>
      <w:numFmt w:val="decimal"/>
      <w:pStyle w:val="TableNum6OC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48B46A61"/>
    <w:multiLevelType w:val="hybridMultilevel"/>
    <w:tmpl w:val="6DBE7D06"/>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start w:val="1"/>
      <w:numFmt w:val="lowerRoman"/>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4DF318A4"/>
    <w:multiLevelType w:val="hybridMultilevel"/>
    <w:tmpl w:val="508C74B8"/>
    <w:name w:val="DefSubOC2"/>
    <w:lvl w:ilvl="0" w:tplc="2C68181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4ED1674E"/>
    <w:multiLevelType w:val="multilevel"/>
    <w:tmpl w:val="7406A8A2"/>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766"/>
        </w:tabs>
        <w:ind w:left="766" w:hanging="624"/>
      </w:pPr>
      <w:rPr>
        <w:rFonts w:ascii="Times New Roman" w:hAnsi="Times New Roman" w:cs="Times New Roman" w:hint="default"/>
        <w:b w:val="0"/>
        <w:i w:val="0"/>
        <w:sz w:val="20"/>
        <w:szCs w:val="20"/>
      </w:rPr>
    </w:lvl>
    <w:lvl w:ilvl="2">
      <w:start w:val="1"/>
      <w:numFmt w:val="lowerRoman"/>
      <w:pStyle w:val="DefSubAshurst"/>
      <w:lvlText w:val="(%3)"/>
      <w:lvlJc w:val="left"/>
      <w:pPr>
        <w:tabs>
          <w:tab w:val="num" w:pos="2030"/>
        </w:tabs>
        <w:ind w:left="2030" w:hanging="624"/>
      </w:pPr>
      <w:rPr>
        <w:rFonts w:hint="default"/>
      </w:rPr>
    </w:lvl>
    <w:lvl w:ilvl="3">
      <w:start w:val="1"/>
      <w:numFmt w:val="upperLetter"/>
      <w:pStyle w:val="DefSubSubAshurst"/>
      <w:lvlText w:val="(%4)"/>
      <w:lvlJc w:val="left"/>
      <w:pPr>
        <w:tabs>
          <w:tab w:val="num" w:pos="2654"/>
        </w:tabs>
        <w:ind w:left="2654" w:hanging="624"/>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41" w15:restartNumberingAfterBreak="0">
    <w:nsid w:val="4F011D52"/>
    <w:multiLevelType w:val="multilevel"/>
    <w:tmpl w:val="55A62B56"/>
    <w:name w:val="AltBH1-8OCAshurst"/>
    <w:lvl w:ilvl="0">
      <w:start w:val="1"/>
      <w:numFmt w:val="decimal"/>
      <w:pStyle w:val="AltBH1OCAshurst"/>
      <w:lvlText w:val="%1."/>
      <w:lvlJc w:val="left"/>
      <w:pPr>
        <w:tabs>
          <w:tab w:val="num" w:pos="709"/>
        </w:tabs>
        <w:ind w:left="709" w:hanging="709"/>
      </w:pPr>
      <w:rPr>
        <w:rFonts w:hint="default"/>
        <w:b w:val="0"/>
        <w:i w:val="0"/>
      </w:rPr>
    </w:lvl>
    <w:lvl w:ilvl="1">
      <w:start w:val="1"/>
      <w:numFmt w:val="decimal"/>
      <w:pStyle w:val="AltBH2OCAshurst"/>
      <w:lvlText w:val="%1.%2"/>
      <w:lvlJc w:val="left"/>
      <w:pPr>
        <w:tabs>
          <w:tab w:val="num" w:pos="709"/>
        </w:tabs>
        <w:ind w:left="709" w:hanging="709"/>
      </w:pPr>
      <w:rPr>
        <w:rFonts w:hint="default"/>
        <w:b w:val="0"/>
        <w:i w:val="0"/>
      </w:rPr>
    </w:lvl>
    <w:lvl w:ilvl="2">
      <w:start w:val="1"/>
      <w:numFmt w:val="lowerLetter"/>
      <w:pStyle w:val="AltBH3OCAshurst"/>
      <w:lvlText w:val="(%3)"/>
      <w:lvlJc w:val="left"/>
      <w:pPr>
        <w:tabs>
          <w:tab w:val="num" w:pos="709"/>
        </w:tabs>
        <w:ind w:left="709" w:hanging="709"/>
      </w:pPr>
      <w:rPr>
        <w:rFonts w:hint="default"/>
        <w:b w:val="0"/>
        <w:i w:val="0"/>
      </w:rPr>
    </w:lvl>
    <w:lvl w:ilvl="3">
      <w:start w:val="1"/>
      <w:numFmt w:val="lowerRoman"/>
      <w:pStyle w:val="AltBH4OCAshurst"/>
      <w:lvlText w:val="(%4)"/>
      <w:lvlJc w:val="left"/>
      <w:pPr>
        <w:tabs>
          <w:tab w:val="num" w:pos="1276"/>
        </w:tabs>
        <w:ind w:left="1276" w:hanging="567"/>
      </w:pPr>
      <w:rPr>
        <w:rFonts w:hint="default"/>
        <w:b w:val="0"/>
        <w:i w:val="0"/>
      </w:rPr>
    </w:lvl>
    <w:lvl w:ilvl="4">
      <w:start w:val="1"/>
      <w:numFmt w:val="upperLetter"/>
      <w:pStyle w:val="AltBH5OCAshurst"/>
      <w:lvlText w:val="(%5)"/>
      <w:lvlJc w:val="left"/>
      <w:pPr>
        <w:tabs>
          <w:tab w:val="num" w:pos="1843"/>
        </w:tabs>
        <w:ind w:left="1843" w:hanging="567"/>
      </w:pPr>
      <w:rPr>
        <w:rFonts w:hint="default"/>
        <w:b w:val="0"/>
        <w:i w:val="0"/>
      </w:rPr>
    </w:lvl>
    <w:lvl w:ilvl="5">
      <w:start w:val="1"/>
      <w:numFmt w:val="decimal"/>
      <w:pStyle w:val="AltBH6OCAshurst"/>
      <w:lvlText w:val="(%6)"/>
      <w:lvlJc w:val="left"/>
      <w:pPr>
        <w:tabs>
          <w:tab w:val="num" w:pos="2410"/>
        </w:tabs>
        <w:ind w:left="2410" w:hanging="567"/>
      </w:pPr>
      <w:rPr>
        <w:rFonts w:hint="default"/>
        <w:b w:val="0"/>
        <w:i w:val="0"/>
      </w:rPr>
    </w:lvl>
    <w:lvl w:ilvl="6">
      <w:start w:val="1"/>
      <w:numFmt w:val="lowerLetter"/>
      <w:pStyle w:val="AltBH7OCAShurst"/>
      <w:lvlText w:val="(%7)"/>
      <w:lvlJc w:val="left"/>
      <w:pPr>
        <w:tabs>
          <w:tab w:val="num" w:pos="2977"/>
        </w:tabs>
        <w:ind w:left="2977" w:hanging="567"/>
      </w:pPr>
      <w:rPr>
        <w:rFonts w:hint="default"/>
        <w:b w:val="0"/>
        <w:i w:val="0"/>
      </w:rPr>
    </w:lvl>
    <w:lvl w:ilvl="7">
      <w:start w:val="1"/>
      <w:numFmt w:val="lowerRoman"/>
      <w:pStyle w:val="AltBH8OCAshurst"/>
      <w:lvlText w:val="(%8)"/>
      <w:lvlJc w:val="left"/>
      <w:pPr>
        <w:tabs>
          <w:tab w:val="num" w:pos="3544"/>
        </w:tabs>
        <w:ind w:left="3544" w:hanging="567"/>
      </w:pPr>
      <w:rPr>
        <w:rFonts w:hint="default"/>
      </w:rPr>
    </w:lvl>
    <w:lvl w:ilvl="8">
      <w:start w:val="1"/>
      <w:numFmt w:val="none"/>
      <w:lvlText w:val=""/>
      <w:lvlJc w:val="left"/>
      <w:pPr>
        <w:tabs>
          <w:tab w:val="num" w:pos="0"/>
        </w:tabs>
        <w:ind w:left="0" w:firstLine="0"/>
      </w:pPr>
      <w:rPr>
        <w:rFonts w:hint="default"/>
      </w:rPr>
    </w:lvl>
  </w:abstractNum>
  <w:abstractNum w:abstractNumId="42" w15:restartNumberingAfterBreak="0">
    <w:nsid w:val="4F4B3ADF"/>
    <w:multiLevelType w:val="multilevel"/>
    <w:tmpl w:val="94F4EF9E"/>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191"/>
        </w:tabs>
        <w:ind w:left="1191"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43" w15:restartNumberingAfterBreak="0">
    <w:nsid w:val="4F7A4EB8"/>
    <w:multiLevelType w:val="hybridMultilevel"/>
    <w:tmpl w:val="40DE0D9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0F927D8"/>
    <w:multiLevelType w:val="hybridMultilevel"/>
    <w:tmpl w:val="40DE0D9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57C67C4B"/>
    <w:multiLevelType w:val="hybridMultilevel"/>
    <w:tmpl w:val="E86E7356"/>
    <w:lvl w:ilvl="0" w:tplc="ADECB48C">
      <w:start w:val="1"/>
      <w:numFmt w:val="bullet"/>
      <w:pStyle w:val="Bullet6Ashurst"/>
      <w:lvlText w:val=""/>
      <w:lvlJc w:val="left"/>
      <w:pPr>
        <w:tabs>
          <w:tab w:val="num" w:pos="3901"/>
        </w:tabs>
        <w:ind w:left="3901" w:hanging="624"/>
      </w:pPr>
      <w:rPr>
        <w:rFonts w:ascii="Symbol" w:hAnsi="Symbol" w:hint="default"/>
        <w:b w:val="0"/>
        <w:i w:val="0"/>
        <w:sz w:val="18"/>
        <w:szCs w:val="18"/>
      </w:rPr>
    </w:lvl>
    <w:lvl w:ilvl="1" w:tplc="EDC05E12" w:tentative="1">
      <w:start w:val="1"/>
      <w:numFmt w:val="bullet"/>
      <w:lvlText w:val="o"/>
      <w:lvlJc w:val="left"/>
      <w:pPr>
        <w:tabs>
          <w:tab w:val="num" w:pos="1440"/>
        </w:tabs>
        <w:ind w:left="1440" w:hanging="360"/>
      </w:pPr>
      <w:rPr>
        <w:rFonts w:ascii="Courier New" w:hAnsi="Courier New" w:cs="Courier New" w:hint="default"/>
      </w:rPr>
    </w:lvl>
    <w:lvl w:ilvl="2" w:tplc="53FC6F48" w:tentative="1">
      <w:start w:val="1"/>
      <w:numFmt w:val="bullet"/>
      <w:lvlText w:val=""/>
      <w:lvlJc w:val="left"/>
      <w:pPr>
        <w:tabs>
          <w:tab w:val="num" w:pos="2160"/>
        </w:tabs>
        <w:ind w:left="2160" w:hanging="360"/>
      </w:pPr>
      <w:rPr>
        <w:rFonts w:ascii="Wingdings" w:hAnsi="Wingdings" w:hint="default"/>
      </w:rPr>
    </w:lvl>
    <w:lvl w:ilvl="3" w:tplc="BF62A1E4" w:tentative="1">
      <w:start w:val="1"/>
      <w:numFmt w:val="bullet"/>
      <w:lvlText w:val=""/>
      <w:lvlJc w:val="left"/>
      <w:pPr>
        <w:tabs>
          <w:tab w:val="num" w:pos="2880"/>
        </w:tabs>
        <w:ind w:left="2880" w:hanging="360"/>
      </w:pPr>
      <w:rPr>
        <w:rFonts w:ascii="Symbol" w:hAnsi="Symbol" w:hint="default"/>
      </w:rPr>
    </w:lvl>
    <w:lvl w:ilvl="4" w:tplc="30E2B6C6" w:tentative="1">
      <w:start w:val="1"/>
      <w:numFmt w:val="bullet"/>
      <w:lvlText w:val="o"/>
      <w:lvlJc w:val="left"/>
      <w:pPr>
        <w:tabs>
          <w:tab w:val="num" w:pos="3600"/>
        </w:tabs>
        <w:ind w:left="3600" w:hanging="360"/>
      </w:pPr>
      <w:rPr>
        <w:rFonts w:ascii="Courier New" w:hAnsi="Courier New" w:cs="Courier New" w:hint="default"/>
      </w:rPr>
    </w:lvl>
    <w:lvl w:ilvl="5" w:tplc="41C69D0A" w:tentative="1">
      <w:start w:val="1"/>
      <w:numFmt w:val="bullet"/>
      <w:lvlText w:val=""/>
      <w:lvlJc w:val="left"/>
      <w:pPr>
        <w:tabs>
          <w:tab w:val="num" w:pos="4320"/>
        </w:tabs>
        <w:ind w:left="4320" w:hanging="360"/>
      </w:pPr>
      <w:rPr>
        <w:rFonts w:ascii="Wingdings" w:hAnsi="Wingdings" w:hint="default"/>
      </w:rPr>
    </w:lvl>
    <w:lvl w:ilvl="6" w:tplc="2CFC3F44" w:tentative="1">
      <w:start w:val="1"/>
      <w:numFmt w:val="bullet"/>
      <w:lvlText w:val=""/>
      <w:lvlJc w:val="left"/>
      <w:pPr>
        <w:tabs>
          <w:tab w:val="num" w:pos="5040"/>
        </w:tabs>
        <w:ind w:left="5040" w:hanging="360"/>
      </w:pPr>
      <w:rPr>
        <w:rFonts w:ascii="Symbol" w:hAnsi="Symbol" w:hint="default"/>
      </w:rPr>
    </w:lvl>
    <w:lvl w:ilvl="7" w:tplc="A6B05E5C" w:tentative="1">
      <w:start w:val="1"/>
      <w:numFmt w:val="bullet"/>
      <w:lvlText w:val="o"/>
      <w:lvlJc w:val="left"/>
      <w:pPr>
        <w:tabs>
          <w:tab w:val="num" w:pos="5760"/>
        </w:tabs>
        <w:ind w:left="5760" w:hanging="360"/>
      </w:pPr>
      <w:rPr>
        <w:rFonts w:ascii="Courier New" w:hAnsi="Courier New" w:cs="Courier New" w:hint="default"/>
      </w:rPr>
    </w:lvl>
    <w:lvl w:ilvl="8" w:tplc="5F4698BA"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D77A9B"/>
    <w:multiLevelType w:val="hybridMultilevel"/>
    <w:tmpl w:val="6F441260"/>
    <w:name w:val="WW8Num62"/>
    <w:lvl w:ilvl="0" w:tplc="EE82B178">
      <w:start w:val="1"/>
      <w:numFmt w:val="lowerRoman"/>
      <w:lvlText w:val="(%1)"/>
      <w:lvlJc w:val="left"/>
      <w:pPr>
        <w:tabs>
          <w:tab w:val="num" w:pos="2030"/>
        </w:tabs>
        <w:ind w:left="2030" w:hanging="624"/>
      </w:pPr>
      <w:rPr>
        <w:rFonts w:hint="default"/>
        <w:b w:val="0"/>
        <w:i w:val="0"/>
        <w:sz w:val="18"/>
        <w:szCs w:val="18"/>
      </w:rPr>
    </w:lvl>
    <w:lvl w:ilvl="1" w:tplc="CCEE7D58" w:tentative="1">
      <w:start w:val="1"/>
      <w:numFmt w:val="lowerLetter"/>
      <w:lvlText w:val="%2."/>
      <w:lvlJc w:val="left"/>
      <w:pPr>
        <w:tabs>
          <w:tab w:val="num" w:pos="1440"/>
        </w:tabs>
        <w:ind w:left="1440" w:hanging="360"/>
      </w:pPr>
    </w:lvl>
    <w:lvl w:ilvl="2" w:tplc="FCFE63FA" w:tentative="1">
      <w:start w:val="1"/>
      <w:numFmt w:val="lowerRoman"/>
      <w:lvlText w:val="%3."/>
      <w:lvlJc w:val="right"/>
      <w:pPr>
        <w:tabs>
          <w:tab w:val="num" w:pos="2160"/>
        </w:tabs>
        <w:ind w:left="2160" w:hanging="180"/>
      </w:pPr>
    </w:lvl>
    <w:lvl w:ilvl="3" w:tplc="D89EC906" w:tentative="1">
      <w:start w:val="1"/>
      <w:numFmt w:val="decimal"/>
      <w:lvlText w:val="%4."/>
      <w:lvlJc w:val="left"/>
      <w:pPr>
        <w:tabs>
          <w:tab w:val="num" w:pos="2880"/>
        </w:tabs>
        <w:ind w:left="2880" w:hanging="360"/>
      </w:pPr>
    </w:lvl>
    <w:lvl w:ilvl="4" w:tplc="5F78E392" w:tentative="1">
      <w:start w:val="1"/>
      <w:numFmt w:val="lowerLetter"/>
      <w:lvlText w:val="%5."/>
      <w:lvlJc w:val="left"/>
      <w:pPr>
        <w:tabs>
          <w:tab w:val="num" w:pos="3600"/>
        </w:tabs>
        <w:ind w:left="3600" w:hanging="360"/>
      </w:pPr>
    </w:lvl>
    <w:lvl w:ilvl="5" w:tplc="0B9E0482" w:tentative="1">
      <w:start w:val="1"/>
      <w:numFmt w:val="lowerRoman"/>
      <w:lvlText w:val="%6."/>
      <w:lvlJc w:val="right"/>
      <w:pPr>
        <w:tabs>
          <w:tab w:val="num" w:pos="4320"/>
        </w:tabs>
        <w:ind w:left="4320" w:hanging="180"/>
      </w:pPr>
    </w:lvl>
    <w:lvl w:ilvl="6" w:tplc="430A549A" w:tentative="1">
      <w:start w:val="1"/>
      <w:numFmt w:val="decimal"/>
      <w:lvlText w:val="%7."/>
      <w:lvlJc w:val="left"/>
      <w:pPr>
        <w:tabs>
          <w:tab w:val="num" w:pos="5040"/>
        </w:tabs>
        <w:ind w:left="5040" w:hanging="360"/>
      </w:pPr>
    </w:lvl>
    <w:lvl w:ilvl="7" w:tplc="13EEFD3C" w:tentative="1">
      <w:start w:val="1"/>
      <w:numFmt w:val="lowerLetter"/>
      <w:lvlText w:val="%8."/>
      <w:lvlJc w:val="left"/>
      <w:pPr>
        <w:tabs>
          <w:tab w:val="num" w:pos="5760"/>
        </w:tabs>
        <w:ind w:left="5760" w:hanging="360"/>
      </w:pPr>
    </w:lvl>
    <w:lvl w:ilvl="8" w:tplc="99BC4B26" w:tentative="1">
      <w:start w:val="1"/>
      <w:numFmt w:val="lowerRoman"/>
      <w:lvlText w:val="%9."/>
      <w:lvlJc w:val="right"/>
      <w:pPr>
        <w:tabs>
          <w:tab w:val="num" w:pos="6480"/>
        </w:tabs>
        <w:ind w:left="6480" w:hanging="180"/>
      </w:pPr>
    </w:lvl>
  </w:abstractNum>
  <w:abstractNum w:abstractNumId="47" w15:restartNumberingAfterBreak="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93047D9"/>
    <w:multiLevelType w:val="hybridMultilevel"/>
    <w:tmpl w:val="622A5644"/>
    <w:lvl w:ilvl="0" w:tplc="ABAA10F4">
      <w:start w:val="1"/>
      <w:numFmt w:val="bullet"/>
      <w:pStyle w:val="BulletAshurst"/>
      <w:lvlText w:val=""/>
      <w:lvlJc w:val="left"/>
      <w:pPr>
        <w:tabs>
          <w:tab w:val="num" w:pos="782"/>
        </w:tabs>
        <w:ind w:left="782" w:hanging="782"/>
      </w:pPr>
      <w:rPr>
        <w:rFonts w:ascii="Symbol" w:hAnsi="Symbol" w:hint="default"/>
      </w:rPr>
    </w:lvl>
    <w:lvl w:ilvl="1" w:tplc="D2E4F4E8" w:tentative="1">
      <w:start w:val="1"/>
      <w:numFmt w:val="bullet"/>
      <w:lvlText w:val="o"/>
      <w:lvlJc w:val="left"/>
      <w:pPr>
        <w:tabs>
          <w:tab w:val="num" w:pos="1440"/>
        </w:tabs>
        <w:ind w:left="1440" w:hanging="360"/>
      </w:pPr>
      <w:rPr>
        <w:rFonts w:ascii="Courier New" w:hAnsi="Courier New" w:cs="Courier New" w:hint="default"/>
      </w:rPr>
    </w:lvl>
    <w:lvl w:ilvl="2" w:tplc="FF18DA58" w:tentative="1">
      <w:start w:val="1"/>
      <w:numFmt w:val="bullet"/>
      <w:lvlText w:val=""/>
      <w:lvlJc w:val="left"/>
      <w:pPr>
        <w:tabs>
          <w:tab w:val="num" w:pos="2160"/>
        </w:tabs>
        <w:ind w:left="2160" w:hanging="360"/>
      </w:pPr>
      <w:rPr>
        <w:rFonts w:ascii="Wingdings" w:hAnsi="Wingdings" w:hint="default"/>
      </w:rPr>
    </w:lvl>
    <w:lvl w:ilvl="3" w:tplc="17DCBAAA" w:tentative="1">
      <w:start w:val="1"/>
      <w:numFmt w:val="bullet"/>
      <w:lvlText w:val=""/>
      <w:lvlJc w:val="left"/>
      <w:pPr>
        <w:tabs>
          <w:tab w:val="num" w:pos="2880"/>
        </w:tabs>
        <w:ind w:left="2880" w:hanging="360"/>
      </w:pPr>
      <w:rPr>
        <w:rFonts w:ascii="Symbol" w:hAnsi="Symbol" w:hint="default"/>
      </w:rPr>
    </w:lvl>
    <w:lvl w:ilvl="4" w:tplc="8636502E" w:tentative="1">
      <w:start w:val="1"/>
      <w:numFmt w:val="bullet"/>
      <w:lvlText w:val="o"/>
      <w:lvlJc w:val="left"/>
      <w:pPr>
        <w:tabs>
          <w:tab w:val="num" w:pos="3600"/>
        </w:tabs>
        <w:ind w:left="3600" w:hanging="360"/>
      </w:pPr>
      <w:rPr>
        <w:rFonts w:ascii="Courier New" w:hAnsi="Courier New" w:cs="Courier New" w:hint="default"/>
      </w:rPr>
    </w:lvl>
    <w:lvl w:ilvl="5" w:tplc="5936CF7E" w:tentative="1">
      <w:start w:val="1"/>
      <w:numFmt w:val="bullet"/>
      <w:lvlText w:val=""/>
      <w:lvlJc w:val="left"/>
      <w:pPr>
        <w:tabs>
          <w:tab w:val="num" w:pos="4320"/>
        </w:tabs>
        <w:ind w:left="4320" w:hanging="360"/>
      </w:pPr>
      <w:rPr>
        <w:rFonts w:ascii="Wingdings" w:hAnsi="Wingdings" w:hint="default"/>
      </w:rPr>
    </w:lvl>
    <w:lvl w:ilvl="6" w:tplc="AE2C6022" w:tentative="1">
      <w:start w:val="1"/>
      <w:numFmt w:val="bullet"/>
      <w:lvlText w:val=""/>
      <w:lvlJc w:val="left"/>
      <w:pPr>
        <w:tabs>
          <w:tab w:val="num" w:pos="5040"/>
        </w:tabs>
        <w:ind w:left="5040" w:hanging="360"/>
      </w:pPr>
      <w:rPr>
        <w:rFonts w:ascii="Symbol" w:hAnsi="Symbol" w:hint="default"/>
      </w:rPr>
    </w:lvl>
    <w:lvl w:ilvl="7" w:tplc="8FA06FF2" w:tentative="1">
      <w:start w:val="1"/>
      <w:numFmt w:val="bullet"/>
      <w:lvlText w:val="o"/>
      <w:lvlJc w:val="left"/>
      <w:pPr>
        <w:tabs>
          <w:tab w:val="num" w:pos="5760"/>
        </w:tabs>
        <w:ind w:left="5760" w:hanging="360"/>
      </w:pPr>
      <w:rPr>
        <w:rFonts w:ascii="Courier New" w:hAnsi="Courier New" w:cs="Courier New" w:hint="default"/>
      </w:rPr>
    </w:lvl>
    <w:lvl w:ilvl="8" w:tplc="0CDCCF44"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6158"/>
    <w:multiLevelType w:val="hybridMultilevel"/>
    <w:tmpl w:val="63ECDCCE"/>
    <w:lvl w:ilvl="0" w:tplc="C3E80D0E">
      <w:start w:val="1"/>
      <w:numFmt w:val="bullet"/>
      <w:pStyle w:val="Bullet3Ashurst"/>
      <w:lvlText w:val=""/>
      <w:lvlJc w:val="left"/>
      <w:pPr>
        <w:tabs>
          <w:tab w:val="num" w:pos="2030"/>
        </w:tabs>
        <w:ind w:left="2030" w:hanging="624"/>
      </w:pPr>
      <w:rPr>
        <w:rFonts w:ascii="Symbol" w:hAnsi="Symbol" w:hint="default"/>
        <w:b w:val="0"/>
        <w:i w:val="0"/>
        <w:sz w:val="18"/>
        <w:szCs w:val="18"/>
      </w:rPr>
    </w:lvl>
    <w:lvl w:ilvl="1" w:tplc="45844ECE" w:tentative="1">
      <w:start w:val="1"/>
      <w:numFmt w:val="bullet"/>
      <w:lvlText w:val="o"/>
      <w:lvlJc w:val="left"/>
      <w:pPr>
        <w:tabs>
          <w:tab w:val="num" w:pos="1440"/>
        </w:tabs>
        <w:ind w:left="1440" w:hanging="360"/>
      </w:pPr>
      <w:rPr>
        <w:rFonts w:ascii="Courier New" w:hAnsi="Courier New" w:cs="Courier New" w:hint="default"/>
      </w:rPr>
    </w:lvl>
    <w:lvl w:ilvl="2" w:tplc="90907238" w:tentative="1">
      <w:start w:val="1"/>
      <w:numFmt w:val="bullet"/>
      <w:lvlText w:val=""/>
      <w:lvlJc w:val="left"/>
      <w:pPr>
        <w:tabs>
          <w:tab w:val="num" w:pos="2160"/>
        </w:tabs>
        <w:ind w:left="2160" w:hanging="360"/>
      </w:pPr>
      <w:rPr>
        <w:rFonts w:ascii="Wingdings" w:hAnsi="Wingdings" w:hint="default"/>
      </w:rPr>
    </w:lvl>
    <w:lvl w:ilvl="3" w:tplc="6D7A671C" w:tentative="1">
      <w:start w:val="1"/>
      <w:numFmt w:val="bullet"/>
      <w:lvlText w:val=""/>
      <w:lvlJc w:val="left"/>
      <w:pPr>
        <w:tabs>
          <w:tab w:val="num" w:pos="2880"/>
        </w:tabs>
        <w:ind w:left="2880" w:hanging="360"/>
      </w:pPr>
      <w:rPr>
        <w:rFonts w:ascii="Symbol" w:hAnsi="Symbol" w:hint="default"/>
      </w:rPr>
    </w:lvl>
    <w:lvl w:ilvl="4" w:tplc="F30A82AC" w:tentative="1">
      <w:start w:val="1"/>
      <w:numFmt w:val="bullet"/>
      <w:lvlText w:val="o"/>
      <w:lvlJc w:val="left"/>
      <w:pPr>
        <w:tabs>
          <w:tab w:val="num" w:pos="3600"/>
        </w:tabs>
        <w:ind w:left="3600" w:hanging="360"/>
      </w:pPr>
      <w:rPr>
        <w:rFonts w:ascii="Courier New" w:hAnsi="Courier New" w:cs="Courier New" w:hint="default"/>
      </w:rPr>
    </w:lvl>
    <w:lvl w:ilvl="5" w:tplc="9C7272E0" w:tentative="1">
      <w:start w:val="1"/>
      <w:numFmt w:val="bullet"/>
      <w:lvlText w:val=""/>
      <w:lvlJc w:val="left"/>
      <w:pPr>
        <w:tabs>
          <w:tab w:val="num" w:pos="4320"/>
        </w:tabs>
        <w:ind w:left="4320" w:hanging="360"/>
      </w:pPr>
      <w:rPr>
        <w:rFonts w:ascii="Wingdings" w:hAnsi="Wingdings" w:hint="default"/>
      </w:rPr>
    </w:lvl>
    <w:lvl w:ilvl="6" w:tplc="5C802174" w:tentative="1">
      <w:start w:val="1"/>
      <w:numFmt w:val="bullet"/>
      <w:lvlText w:val=""/>
      <w:lvlJc w:val="left"/>
      <w:pPr>
        <w:tabs>
          <w:tab w:val="num" w:pos="5040"/>
        </w:tabs>
        <w:ind w:left="5040" w:hanging="360"/>
      </w:pPr>
      <w:rPr>
        <w:rFonts w:ascii="Symbol" w:hAnsi="Symbol" w:hint="default"/>
      </w:rPr>
    </w:lvl>
    <w:lvl w:ilvl="7" w:tplc="CDD63E98" w:tentative="1">
      <w:start w:val="1"/>
      <w:numFmt w:val="bullet"/>
      <w:lvlText w:val="o"/>
      <w:lvlJc w:val="left"/>
      <w:pPr>
        <w:tabs>
          <w:tab w:val="num" w:pos="5760"/>
        </w:tabs>
        <w:ind w:left="5760" w:hanging="360"/>
      </w:pPr>
      <w:rPr>
        <w:rFonts w:ascii="Courier New" w:hAnsi="Courier New" w:cs="Courier New" w:hint="default"/>
      </w:rPr>
    </w:lvl>
    <w:lvl w:ilvl="8" w:tplc="A3D6FC52"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16616F"/>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54" w15:restartNumberingAfterBreak="0">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C885D54"/>
    <w:multiLevelType w:val="hybridMultilevel"/>
    <w:tmpl w:val="049AE188"/>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start w:val="1"/>
      <w:numFmt w:val="lowerRoman"/>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CEB4B8E"/>
    <w:multiLevelType w:val="hybridMultilevel"/>
    <w:tmpl w:val="40DE0D9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6D13513A"/>
    <w:multiLevelType w:val="hybridMultilevel"/>
    <w:tmpl w:val="F8AEB498"/>
    <w:lvl w:ilvl="0" w:tplc="21AC27A0">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ADCA9E86" w:tentative="1">
      <w:start w:val="1"/>
      <w:numFmt w:val="bullet"/>
      <w:lvlText w:val="o"/>
      <w:lvlJc w:val="left"/>
      <w:pPr>
        <w:tabs>
          <w:tab w:val="num" w:pos="1440"/>
        </w:tabs>
        <w:ind w:left="1440" w:hanging="360"/>
      </w:pPr>
      <w:rPr>
        <w:rFonts w:ascii="Courier New" w:hAnsi="Courier New" w:cs="Courier New" w:hint="default"/>
      </w:rPr>
    </w:lvl>
    <w:lvl w:ilvl="2" w:tplc="EA9AB01E" w:tentative="1">
      <w:start w:val="1"/>
      <w:numFmt w:val="bullet"/>
      <w:lvlText w:val=""/>
      <w:lvlJc w:val="left"/>
      <w:pPr>
        <w:tabs>
          <w:tab w:val="num" w:pos="2160"/>
        </w:tabs>
        <w:ind w:left="2160" w:hanging="360"/>
      </w:pPr>
      <w:rPr>
        <w:rFonts w:ascii="Wingdings" w:hAnsi="Wingdings" w:hint="default"/>
      </w:rPr>
    </w:lvl>
    <w:lvl w:ilvl="3" w:tplc="FCDC2290" w:tentative="1">
      <w:start w:val="1"/>
      <w:numFmt w:val="bullet"/>
      <w:lvlText w:val=""/>
      <w:lvlJc w:val="left"/>
      <w:pPr>
        <w:tabs>
          <w:tab w:val="num" w:pos="2880"/>
        </w:tabs>
        <w:ind w:left="2880" w:hanging="360"/>
      </w:pPr>
      <w:rPr>
        <w:rFonts w:ascii="Symbol" w:hAnsi="Symbol" w:hint="default"/>
      </w:rPr>
    </w:lvl>
    <w:lvl w:ilvl="4" w:tplc="35208190" w:tentative="1">
      <w:start w:val="1"/>
      <w:numFmt w:val="bullet"/>
      <w:lvlText w:val="o"/>
      <w:lvlJc w:val="left"/>
      <w:pPr>
        <w:tabs>
          <w:tab w:val="num" w:pos="3600"/>
        </w:tabs>
        <w:ind w:left="3600" w:hanging="360"/>
      </w:pPr>
      <w:rPr>
        <w:rFonts w:ascii="Courier New" w:hAnsi="Courier New" w:cs="Courier New" w:hint="default"/>
      </w:rPr>
    </w:lvl>
    <w:lvl w:ilvl="5" w:tplc="0AC80FD4" w:tentative="1">
      <w:start w:val="1"/>
      <w:numFmt w:val="bullet"/>
      <w:lvlText w:val=""/>
      <w:lvlJc w:val="left"/>
      <w:pPr>
        <w:tabs>
          <w:tab w:val="num" w:pos="4320"/>
        </w:tabs>
        <w:ind w:left="4320" w:hanging="360"/>
      </w:pPr>
      <w:rPr>
        <w:rFonts w:ascii="Wingdings" w:hAnsi="Wingdings" w:hint="default"/>
      </w:rPr>
    </w:lvl>
    <w:lvl w:ilvl="6" w:tplc="BB901C06" w:tentative="1">
      <w:start w:val="1"/>
      <w:numFmt w:val="bullet"/>
      <w:lvlText w:val=""/>
      <w:lvlJc w:val="left"/>
      <w:pPr>
        <w:tabs>
          <w:tab w:val="num" w:pos="5040"/>
        </w:tabs>
        <w:ind w:left="5040" w:hanging="360"/>
      </w:pPr>
      <w:rPr>
        <w:rFonts w:ascii="Symbol" w:hAnsi="Symbol" w:hint="default"/>
      </w:rPr>
    </w:lvl>
    <w:lvl w:ilvl="7" w:tplc="9CE47250" w:tentative="1">
      <w:start w:val="1"/>
      <w:numFmt w:val="bullet"/>
      <w:lvlText w:val="o"/>
      <w:lvlJc w:val="left"/>
      <w:pPr>
        <w:tabs>
          <w:tab w:val="num" w:pos="5760"/>
        </w:tabs>
        <w:ind w:left="5760" w:hanging="360"/>
      </w:pPr>
      <w:rPr>
        <w:rFonts w:ascii="Courier New" w:hAnsi="Courier New" w:cs="Courier New" w:hint="default"/>
      </w:rPr>
    </w:lvl>
    <w:lvl w:ilvl="8" w:tplc="EDEE673E"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742D3538"/>
    <w:multiLevelType w:val="hybridMultilevel"/>
    <w:tmpl w:val="4462EC8E"/>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start w:val="1"/>
      <w:numFmt w:val="lowerRoman"/>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76FF6F28"/>
    <w:multiLevelType w:val="singleLevel"/>
    <w:tmpl w:val="14E04F3A"/>
    <w:lvl w:ilvl="0">
      <w:start w:val="1"/>
      <w:numFmt w:val="bullet"/>
      <w:pStyle w:val="BulletOCAshurst"/>
      <w:lvlText w:val=""/>
      <w:lvlJc w:val="left"/>
      <w:pPr>
        <w:tabs>
          <w:tab w:val="num" w:pos="1561"/>
        </w:tabs>
        <w:ind w:left="1561" w:hanging="709"/>
      </w:pPr>
      <w:rPr>
        <w:rFonts w:ascii="Symbol" w:hAnsi="Symbol" w:hint="default"/>
        <w:b w:val="0"/>
        <w:i w:val="0"/>
        <w:color w:val="auto"/>
        <w:sz w:val="20"/>
      </w:rPr>
    </w:lvl>
  </w:abstractNum>
  <w:abstractNum w:abstractNumId="63" w15:restartNumberingAfterBreak="0">
    <w:nsid w:val="7B792B61"/>
    <w:multiLevelType w:val="hybridMultilevel"/>
    <w:tmpl w:val="AA02C10E"/>
    <w:lvl w:ilvl="0" w:tplc="02BEB110">
      <w:start w:val="1"/>
      <w:numFmt w:val="decimal"/>
      <w:pStyle w:val="PartiesAshurst"/>
      <w:lvlText w:val="(%1)"/>
      <w:lvlJc w:val="left"/>
      <w:pPr>
        <w:tabs>
          <w:tab w:val="num" w:pos="782"/>
        </w:tabs>
        <w:ind w:left="782" w:hanging="782"/>
      </w:pPr>
      <w:rPr>
        <w:rFonts w:hint="default"/>
        <w:b w:val="0"/>
        <w:i w:val="0"/>
        <w:sz w:val="18"/>
        <w:szCs w:val="18"/>
      </w:rPr>
    </w:lvl>
    <w:lvl w:ilvl="1" w:tplc="25162672" w:tentative="1">
      <w:start w:val="1"/>
      <w:numFmt w:val="lowerLetter"/>
      <w:lvlText w:val="%2."/>
      <w:lvlJc w:val="left"/>
      <w:pPr>
        <w:tabs>
          <w:tab w:val="num" w:pos="1440"/>
        </w:tabs>
        <w:ind w:left="1440" w:hanging="360"/>
      </w:pPr>
    </w:lvl>
    <w:lvl w:ilvl="2" w:tplc="372AC76E" w:tentative="1">
      <w:start w:val="1"/>
      <w:numFmt w:val="lowerRoman"/>
      <w:lvlText w:val="%3."/>
      <w:lvlJc w:val="right"/>
      <w:pPr>
        <w:tabs>
          <w:tab w:val="num" w:pos="2160"/>
        </w:tabs>
        <w:ind w:left="2160" w:hanging="180"/>
      </w:pPr>
    </w:lvl>
    <w:lvl w:ilvl="3" w:tplc="6838A4AC" w:tentative="1">
      <w:start w:val="1"/>
      <w:numFmt w:val="decimal"/>
      <w:lvlText w:val="%4."/>
      <w:lvlJc w:val="left"/>
      <w:pPr>
        <w:tabs>
          <w:tab w:val="num" w:pos="2880"/>
        </w:tabs>
        <w:ind w:left="2880" w:hanging="360"/>
      </w:pPr>
    </w:lvl>
    <w:lvl w:ilvl="4" w:tplc="C9D47802" w:tentative="1">
      <w:start w:val="1"/>
      <w:numFmt w:val="lowerLetter"/>
      <w:lvlText w:val="%5."/>
      <w:lvlJc w:val="left"/>
      <w:pPr>
        <w:tabs>
          <w:tab w:val="num" w:pos="3600"/>
        </w:tabs>
        <w:ind w:left="3600" w:hanging="360"/>
      </w:pPr>
    </w:lvl>
    <w:lvl w:ilvl="5" w:tplc="4E78B3F4" w:tentative="1">
      <w:start w:val="1"/>
      <w:numFmt w:val="lowerRoman"/>
      <w:lvlText w:val="%6."/>
      <w:lvlJc w:val="right"/>
      <w:pPr>
        <w:tabs>
          <w:tab w:val="num" w:pos="4320"/>
        </w:tabs>
        <w:ind w:left="4320" w:hanging="180"/>
      </w:pPr>
    </w:lvl>
    <w:lvl w:ilvl="6" w:tplc="4D5410BE" w:tentative="1">
      <w:start w:val="1"/>
      <w:numFmt w:val="decimal"/>
      <w:lvlText w:val="%7."/>
      <w:lvlJc w:val="left"/>
      <w:pPr>
        <w:tabs>
          <w:tab w:val="num" w:pos="5040"/>
        </w:tabs>
        <w:ind w:left="5040" w:hanging="360"/>
      </w:pPr>
    </w:lvl>
    <w:lvl w:ilvl="7" w:tplc="978C3D40" w:tentative="1">
      <w:start w:val="1"/>
      <w:numFmt w:val="lowerLetter"/>
      <w:lvlText w:val="%8."/>
      <w:lvlJc w:val="left"/>
      <w:pPr>
        <w:tabs>
          <w:tab w:val="num" w:pos="5760"/>
        </w:tabs>
        <w:ind w:left="5760" w:hanging="360"/>
      </w:pPr>
    </w:lvl>
    <w:lvl w:ilvl="8" w:tplc="166683DE" w:tentative="1">
      <w:start w:val="1"/>
      <w:numFmt w:val="lowerRoman"/>
      <w:lvlText w:val="%9."/>
      <w:lvlJc w:val="right"/>
      <w:pPr>
        <w:tabs>
          <w:tab w:val="num" w:pos="6480"/>
        </w:tabs>
        <w:ind w:left="6480" w:hanging="180"/>
      </w:pPr>
    </w:lvl>
  </w:abstractNum>
  <w:abstractNum w:abstractNumId="64" w15:restartNumberingAfterBreak="0">
    <w:nsid w:val="7BCD3DD8"/>
    <w:multiLevelType w:val="multilevel"/>
    <w:tmpl w:val="E98052C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65" w15:restartNumberingAfterBreak="0">
    <w:nsid w:val="7CCA31EC"/>
    <w:multiLevelType w:val="hybridMultilevel"/>
    <w:tmpl w:val="4C3E3524"/>
    <w:lvl w:ilvl="0" w:tplc="525E756A">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F46A071E" w:tentative="1">
      <w:start w:val="1"/>
      <w:numFmt w:val="bullet"/>
      <w:lvlText w:val="o"/>
      <w:lvlJc w:val="left"/>
      <w:pPr>
        <w:tabs>
          <w:tab w:val="num" w:pos="1440"/>
        </w:tabs>
        <w:ind w:left="1440" w:hanging="360"/>
      </w:pPr>
      <w:rPr>
        <w:rFonts w:ascii="Courier New" w:hAnsi="Courier New" w:cs="Courier New" w:hint="default"/>
      </w:rPr>
    </w:lvl>
    <w:lvl w:ilvl="2" w:tplc="453A528E" w:tentative="1">
      <w:start w:val="1"/>
      <w:numFmt w:val="bullet"/>
      <w:lvlText w:val=""/>
      <w:lvlJc w:val="left"/>
      <w:pPr>
        <w:tabs>
          <w:tab w:val="num" w:pos="2160"/>
        </w:tabs>
        <w:ind w:left="2160" w:hanging="360"/>
      </w:pPr>
      <w:rPr>
        <w:rFonts w:ascii="Wingdings" w:hAnsi="Wingdings" w:hint="default"/>
      </w:rPr>
    </w:lvl>
    <w:lvl w:ilvl="3" w:tplc="8BDE2CB6" w:tentative="1">
      <w:start w:val="1"/>
      <w:numFmt w:val="bullet"/>
      <w:lvlText w:val=""/>
      <w:lvlJc w:val="left"/>
      <w:pPr>
        <w:tabs>
          <w:tab w:val="num" w:pos="2880"/>
        </w:tabs>
        <w:ind w:left="2880" w:hanging="360"/>
      </w:pPr>
      <w:rPr>
        <w:rFonts w:ascii="Symbol" w:hAnsi="Symbol" w:hint="default"/>
      </w:rPr>
    </w:lvl>
    <w:lvl w:ilvl="4" w:tplc="9B245FEA" w:tentative="1">
      <w:start w:val="1"/>
      <w:numFmt w:val="bullet"/>
      <w:lvlText w:val="o"/>
      <w:lvlJc w:val="left"/>
      <w:pPr>
        <w:tabs>
          <w:tab w:val="num" w:pos="3600"/>
        </w:tabs>
        <w:ind w:left="3600" w:hanging="360"/>
      </w:pPr>
      <w:rPr>
        <w:rFonts w:ascii="Courier New" w:hAnsi="Courier New" w:cs="Courier New" w:hint="default"/>
      </w:rPr>
    </w:lvl>
    <w:lvl w:ilvl="5" w:tplc="2B2CAAD6" w:tentative="1">
      <w:start w:val="1"/>
      <w:numFmt w:val="bullet"/>
      <w:lvlText w:val=""/>
      <w:lvlJc w:val="left"/>
      <w:pPr>
        <w:tabs>
          <w:tab w:val="num" w:pos="4320"/>
        </w:tabs>
        <w:ind w:left="4320" w:hanging="360"/>
      </w:pPr>
      <w:rPr>
        <w:rFonts w:ascii="Wingdings" w:hAnsi="Wingdings" w:hint="default"/>
      </w:rPr>
    </w:lvl>
    <w:lvl w:ilvl="6" w:tplc="40267490" w:tentative="1">
      <w:start w:val="1"/>
      <w:numFmt w:val="bullet"/>
      <w:lvlText w:val=""/>
      <w:lvlJc w:val="left"/>
      <w:pPr>
        <w:tabs>
          <w:tab w:val="num" w:pos="5040"/>
        </w:tabs>
        <w:ind w:left="5040" w:hanging="360"/>
      </w:pPr>
      <w:rPr>
        <w:rFonts w:ascii="Symbol" w:hAnsi="Symbol" w:hint="default"/>
      </w:rPr>
    </w:lvl>
    <w:lvl w:ilvl="7" w:tplc="1462701A" w:tentative="1">
      <w:start w:val="1"/>
      <w:numFmt w:val="bullet"/>
      <w:lvlText w:val="o"/>
      <w:lvlJc w:val="left"/>
      <w:pPr>
        <w:tabs>
          <w:tab w:val="num" w:pos="5760"/>
        </w:tabs>
        <w:ind w:left="5760" w:hanging="360"/>
      </w:pPr>
      <w:rPr>
        <w:rFonts w:ascii="Courier New" w:hAnsi="Courier New" w:cs="Courier New" w:hint="default"/>
      </w:rPr>
    </w:lvl>
    <w:lvl w:ilvl="8" w:tplc="ED72C6D2" w:tentative="1">
      <w:start w:val="1"/>
      <w:numFmt w:val="bullet"/>
      <w:lvlText w:val=""/>
      <w:lvlJc w:val="left"/>
      <w:pPr>
        <w:tabs>
          <w:tab w:val="num" w:pos="6480"/>
        </w:tabs>
        <w:ind w:left="6480" w:hanging="360"/>
      </w:pPr>
      <w:rPr>
        <w:rFonts w:ascii="Wingdings" w:hAnsi="Wingdings" w:hint="default"/>
      </w:rPr>
    </w:lvl>
  </w:abstractNum>
  <w:num w:numId="1" w16cid:durableId="1691485808">
    <w:abstractNumId w:val="20"/>
  </w:num>
  <w:num w:numId="2" w16cid:durableId="149441941">
    <w:abstractNumId w:val="9"/>
  </w:num>
  <w:num w:numId="3" w16cid:durableId="366638315">
    <w:abstractNumId w:val="8"/>
  </w:num>
  <w:num w:numId="4" w16cid:durableId="32002260">
    <w:abstractNumId w:val="7"/>
  </w:num>
  <w:num w:numId="5" w16cid:durableId="1839150926">
    <w:abstractNumId w:val="6"/>
  </w:num>
  <w:num w:numId="6" w16cid:durableId="109052481">
    <w:abstractNumId w:val="5"/>
  </w:num>
  <w:num w:numId="7" w16cid:durableId="847982289">
    <w:abstractNumId w:val="4"/>
  </w:num>
  <w:num w:numId="8" w16cid:durableId="507133213">
    <w:abstractNumId w:val="3"/>
  </w:num>
  <w:num w:numId="9" w16cid:durableId="560019419">
    <w:abstractNumId w:val="2"/>
  </w:num>
  <w:num w:numId="10" w16cid:durableId="2118328993">
    <w:abstractNumId w:val="1"/>
  </w:num>
  <w:num w:numId="11" w16cid:durableId="1075127919">
    <w:abstractNumId w:val="0"/>
  </w:num>
  <w:num w:numId="12" w16cid:durableId="1219633349">
    <w:abstractNumId w:val="24"/>
  </w:num>
  <w:num w:numId="13" w16cid:durableId="126899731">
    <w:abstractNumId w:val="52"/>
  </w:num>
  <w:num w:numId="14" w16cid:durableId="1747413118">
    <w:abstractNumId w:val="16"/>
  </w:num>
  <w:num w:numId="15" w16cid:durableId="1256985789">
    <w:abstractNumId w:val="14"/>
  </w:num>
  <w:num w:numId="16" w16cid:durableId="795831953">
    <w:abstractNumId w:val="25"/>
  </w:num>
  <w:num w:numId="17" w16cid:durableId="2134977556">
    <w:abstractNumId w:val="35"/>
  </w:num>
  <w:num w:numId="18" w16cid:durableId="1349336006">
    <w:abstractNumId w:val="63"/>
  </w:num>
  <w:num w:numId="19" w16cid:durableId="786317279">
    <w:abstractNumId w:val="36"/>
  </w:num>
  <w:num w:numId="20" w16cid:durableId="1910840975">
    <w:abstractNumId w:val="17"/>
  </w:num>
  <w:num w:numId="21" w16cid:durableId="350843328">
    <w:abstractNumId w:val="12"/>
  </w:num>
  <w:num w:numId="22" w16cid:durableId="1495485233">
    <w:abstractNumId w:val="51"/>
  </w:num>
  <w:num w:numId="23" w16cid:durableId="359817122">
    <w:abstractNumId w:val="57"/>
  </w:num>
  <w:num w:numId="24" w16cid:durableId="572399986">
    <w:abstractNumId w:val="65"/>
  </w:num>
  <w:num w:numId="25" w16cid:durableId="1853370245">
    <w:abstractNumId w:val="45"/>
  </w:num>
  <w:num w:numId="26" w16cid:durableId="400446191">
    <w:abstractNumId w:val="10"/>
  </w:num>
  <w:num w:numId="27" w16cid:durableId="136384164">
    <w:abstractNumId w:val="48"/>
  </w:num>
  <w:num w:numId="28" w16cid:durableId="1062286480">
    <w:abstractNumId w:val="29"/>
  </w:num>
  <w:num w:numId="29" w16cid:durableId="1527333019">
    <w:abstractNumId w:val="53"/>
  </w:num>
  <w:num w:numId="30" w16cid:durableId="1934168413">
    <w:abstractNumId w:val="40"/>
  </w:num>
  <w:num w:numId="31" w16cid:durableId="1292253042">
    <w:abstractNumId w:val="64"/>
  </w:num>
  <w:num w:numId="32" w16cid:durableId="1833595360">
    <w:abstractNumId w:val="42"/>
  </w:num>
  <w:num w:numId="33" w16cid:durableId="277759277">
    <w:abstractNumId w:val="19"/>
  </w:num>
  <w:num w:numId="34" w16cid:durableId="826558374">
    <w:abstractNumId w:val="28"/>
  </w:num>
  <w:num w:numId="35" w16cid:durableId="1363090022">
    <w:abstractNumId w:val="18"/>
  </w:num>
  <w:num w:numId="36" w16cid:durableId="1574974770">
    <w:abstractNumId w:val="15"/>
  </w:num>
  <w:num w:numId="37" w16cid:durableId="1768035348">
    <w:abstractNumId w:val="37"/>
  </w:num>
  <w:num w:numId="38" w16cid:durableId="485173015">
    <w:abstractNumId w:val="62"/>
  </w:num>
  <w:num w:numId="39" w16cid:durableId="18210733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1311137">
    <w:abstractNumId w:val="13"/>
  </w:num>
  <w:num w:numId="41" w16cid:durableId="737900372">
    <w:abstractNumId w:val="41"/>
  </w:num>
  <w:num w:numId="42" w16cid:durableId="1107654317">
    <w:abstractNumId w:val="11"/>
  </w:num>
  <w:num w:numId="43" w16cid:durableId="542250776">
    <w:abstractNumId w:val="32"/>
  </w:num>
  <w:num w:numId="44" w16cid:durableId="4370623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45" w16cid:durableId="1901624317">
    <w:abstractNumId w:val="60"/>
  </w:num>
  <w:num w:numId="46" w16cid:durableId="948005373">
    <w:abstractNumId w:val="43"/>
  </w:num>
  <w:num w:numId="47" w16cid:durableId="1301618484">
    <w:abstractNumId w:val="56"/>
  </w:num>
  <w:num w:numId="48" w16cid:durableId="1800957722">
    <w:abstractNumId w:val="38"/>
  </w:num>
  <w:num w:numId="49" w16cid:durableId="13503775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0" w16cid:durableId="10523118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1" w16cid:durableId="345028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2" w16cid:durableId="1002663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3" w16cid:durableId="833570553">
    <w:abstractNumId w:val="44"/>
  </w:num>
  <w:num w:numId="54" w16cid:durableId="880674388">
    <w:abstractNumId w:val="34"/>
  </w:num>
  <w:num w:numId="55" w16cid:durableId="669873271">
    <w:abstractNumId w:val="39"/>
  </w:num>
  <w:num w:numId="56" w16cid:durableId="845824427">
    <w:abstractNumId w:val="55"/>
  </w:num>
  <w:num w:numId="57" w16cid:durableId="11009534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8" w16cid:durableId="13260121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revisionView w:formatting="0"/>
  <w:doNotTrackFormatting/>
  <w:defaultTabStop w:val="567"/>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Doc&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7&quot; /&gt;_x000d__x000a_        &lt;item name=&quot;month&quot; value=&quot;5&quot; /&gt;_x000d__x000a_        &lt;item name=&quot;year&quot; value=&quot;2021&quot; /&gt;_x000d__x000a_        &lt;item name=&quot;legacyTemplateName&quot; value=&quot;&quot; /&gt;_x000d__x000a_        &lt;item name=&quot;iwStartFolder&quot; value=&quot;&quot; /&gt;_x000d__x000a_      &lt;/items&gt;_x000d__x000a_    &lt;/set&gt;_x000d__x000a_  &lt;/documentData&gt;_x000d__x000a_&lt;/ashurstDocument&gt;"/>
  </w:docVars>
  <w:rsids>
    <w:rsidRoot w:val="004D4D38"/>
    <w:rsid w:val="00000D00"/>
    <w:rsid w:val="00001C72"/>
    <w:rsid w:val="00002D75"/>
    <w:rsid w:val="00005323"/>
    <w:rsid w:val="00006938"/>
    <w:rsid w:val="00007413"/>
    <w:rsid w:val="00013F0D"/>
    <w:rsid w:val="00015717"/>
    <w:rsid w:val="00016F5E"/>
    <w:rsid w:val="00020000"/>
    <w:rsid w:val="00023CE9"/>
    <w:rsid w:val="00032215"/>
    <w:rsid w:val="00034F14"/>
    <w:rsid w:val="00035180"/>
    <w:rsid w:val="000467E8"/>
    <w:rsid w:val="00047672"/>
    <w:rsid w:val="0005125E"/>
    <w:rsid w:val="00054A8D"/>
    <w:rsid w:val="0005548B"/>
    <w:rsid w:val="00060CE4"/>
    <w:rsid w:val="00062171"/>
    <w:rsid w:val="0006230A"/>
    <w:rsid w:val="00063054"/>
    <w:rsid w:val="00070911"/>
    <w:rsid w:val="00070C0E"/>
    <w:rsid w:val="0007172A"/>
    <w:rsid w:val="00075373"/>
    <w:rsid w:val="00077BBE"/>
    <w:rsid w:val="000871B4"/>
    <w:rsid w:val="00090A13"/>
    <w:rsid w:val="00092A37"/>
    <w:rsid w:val="00093C15"/>
    <w:rsid w:val="00095AC6"/>
    <w:rsid w:val="000B4D61"/>
    <w:rsid w:val="000B69EE"/>
    <w:rsid w:val="000C20FC"/>
    <w:rsid w:val="000C2CC9"/>
    <w:rsid w:val="000C521B"/>
    <w:rsid w:val="000D0C45"/>
    <w:rsid w:val="000D436B"/>
    <w:rsid w:val="000D5E00"/>
    <w:rsid w:val="000D792E"/>
    <w:rsid w:val="000E39F3"/>
    <w:rsid w:val="000E3D8D"/>
    <w:rsid w:val="000E4BFE"/>
    <w:rsid w:val="000F34E5"/>
    <w:rsid w:val="000F4761"/>
    <w:rsid w:val="000F6CE1"/>
    <w:rsid w:val="001064E6"/>
    <w:rsid w:val="00111806"/>
    <w:rsid w:val="0012070D"/>
    <w:rsid w:val="0012198B"/>
    <w:rsid w:val="00123C82"/>
    <w:rsid w:val="00125818"/>
    <w:rsid w:val="00126E53"/>
    <w:rsid w:val="00126FF0"/>
    <w:rsid w:val="00133997"/>
    <w:rsid w:val="00134B80"/>
    <w:rsid w:val="00135E57"/>
    <w:rsid w:val="0014156F"/>
    <w:rsid w:val="00141576"/>
    <w:rsid w:val="00142B35"/>
    <w:rsid w:val="001559AE"/>
    <w:rsid w:val="00156180"/>
    <w:rsid w:val="00156D94"/>
    <w:rsid w:val="001715BF"/>
    <w:rsid w:val="0017449C"/>
    <w:rsid w:val="001744E6"/>
    <w:rsid w:val="00177387"/>
    <w:rsid w:val="00183207"/>
    <w:rsid w:val="00183CCB"/>
    <w:rsid w:val="001846F7"/>
    <w:rsid w:val="00185C65"/>
    <w:rsid w:val="0018775C"/>
    <w:rsid w:val="0019234D"/>
    <w:rsid w:val="001957AF"/>
    <w:rsid w:val="001964CE"/>
    <w:rsid w:val="001969ED"/>
    <w:rsid w:val="00196A91"/>
    <w:rsid w:val="001A2242"/>
    <w:rsid w:val="001A450B"/>
    <w:rsid w:val="001B09A9"/>
    <w:rsid w:val="001B15E8"/>
    <w:rsid w:val="001B21A7"/>
    <w:rsid w:val="001B28CD"/>
    <w:rsid w:val="001B4D53"/>
    <w:rsid w:val="001B4DDE"/>
    <w:rsid w:val="001B7346"/>
    <w:rsid w:val="001C5A42"/>
    <w:rsid w:val="001D03C3"/>
    <w:rsid w:val="001D2322"/>
    <w:rsid w:val="001D2609"/>
    <w:rsid w:val="001D2CB0"/>
    <w:rsid w:val="001D3EE4"/>
    <w:rsid w:val="001D411D"/>
    <w:rsid w:val="001D4C14"/>
    <w:rsid w:val="001D4EF2"/>
    <w:rsid w:val="001D66F1"/>
    <w:rsid w:val="001D6A8F"/>
    <w:rsid w:val="001E0656"/>
    <w:rsid w:val="001E220F"/>
    <w:rsid w:val="001E538F"/>
    <w:rsid w:val="001F32C7"/>
    <w:rsid w:val="001F39E1"/>
    <w:rsid w:val="002063D0"/>
    <w:rsid w:val="002070B6"/>
    <w:rsid w:val="00213531"/>
    <w:rsid w:val="0021527A"/>
    <w:rsid w:val="002164C3"/>
    <w:rsid w:val="00216E66"/>
    <w:rsid w:val="0022250A"/>
    <w:rsid w:val="0022294C"/>
    <w:rsid w:val="00227DE7"/>
    <w:rsid w:val="00231828"/>
    <w:rsid w:val="00232ED9"/>
    <w:rsid w:val="00237DA1"/>
    <w:rsid w:val="002405A4"/>
    <w:rsid w:val="002410B2"/>
    <w:rsid w:val="00243DC4"/>
    <w:rsid w:val="00247483"/>
    <w:rsid w:val="0025223E"/>
    <w:rsid w:val="00252E27"/>
    <w:rsid w:val="00264E65"/>
    <w:rsid w:val="002668D1"/>
    <w:rsid w:val="0026699F"/>
    <w:rsid w:val="00273B6D"/>
    <w:rsid w:val="0027665E"/>
    <w:rsid w:val="0027716B"/>
    <w:rsid w:val="0028206C"/>
    <w:rsid w:val="00284F84"/>
    <w:rsid w:val="00291136"/>
    <w:rsid w:val="002967DD"/>
    <w:rsid w:val="00297028"/>
    <w:rsid w:val="00297169"/>
    <w:rsid w:val="002A0D50"/>
    <w:rsid w:val="002A684B"/>
    <w:rsid w:val="002C5711"/>
    <w:rsid w:val="002C78CB"/>
    <w:rsid w:val="002D7602"/>
    <w:rsid w:val="002E091C"/>
    <w:rsid w:val="002F4306"/>
    <w:rsid w:val="0030226D"/>
    <w:rsid w:val="00305E01"/>
    <w:rsid w:val="0030694F"/>
    <w:rsid w:val="00311CE5"/>
    <w:rsid w:val="00325E23"/>
    <w:rsid w:val="00331F45"/>
    <w:rsid w:val="00334D72"/>
    <w:rsid w:val="00334FEB"/>
    <w:rsid w:val="00337993"/>
    <w:rsid w:val="00340BDA"/>
    <w:rsid w:val="00343AD4"/>
    <w:rsid w:val="0035647D"/>
    <w:rsid w:val="00360997"/>
    <w:rsid w:val="00364115"/>
    <w:rsid w:val="003641CA"/>
    <w:rsid w:val="00372149"/>
    <w:rsid w:val="0038625B"/>
    <w:rsid w:val="003879AC"/>
    <w:rsid w:val="003923E7"/>
    <w:rsid w:val="00392AFB"/>
    <w:rsid w:val="003A388E"/>
    <w:rsid w:val="003A4C08"/>
    <w:rsid w:val="003B1507"/>
    <w:rsid w:val="003B4B36"/>
    <w:rsid w:val="003B5B76"/>
    <w:rsid w:val="003C1FD1"/>
    <w:rsid w:val="003C318B"/>
    <w:rsid w:val="003D05BD"/>
    <w:rsid w:val="003D0A13"/>
    <w:rsid w:val="003E0B6E"/>
    <w:rsid w:val="003E5EB9"/>
    <w:rsid w:val="003E77DA"/>
    <w:rsid w:val="003F05E1"/>
    <w:rsid w:val="003F0AA9"/>
    <w:rsid w:val="003F10EB"/>
    <w:rsid w:val="003F1726"/>
    <w:rsid w:val="00402E3A"/>
    <w:rsid w:val="00403DBB"/>
    <w:rsid w:val="00404780"/>
    <w:rsid w:val="0041051C"/>
    <w:rsid w:val="0041368F"/>
    <w:rsid w:val="00414900"/>
    <w:rsid w:val="00415B69"/>
    <w:rsid w:val="00426C49"/>
    <w:rsid w:val="00427B0B"/>
    <w:rsid w:val="00430AAD"/>
    <w:rsid w:val="004330E4"/>
    <w:rsid w:val="00433637"/>
    <w:rsid w:val="004423E5"/>
    <w:rsid w:val="0044680A"/>
    <w:rsid w:val="00446A24"/>
    <w:rsid w:val="0045051B"/>
    <w:rsid w:val="00451469"/>
    <w:rsid w:val="0045242F"/>
    <w:rsid w:val="004532C8"/>
    <w:rsid w:val="00453C0D"/>
    <w:rsid w:val="00454A6C"/>
    <w:rsid w:val="00455278"/>
    <w:rsid w:val="00471E6B"/>
    <w:rsid w:val="00475C5B"/>
    <w:rsid w:val="004767D9"/>
    <w:rsid w:val="00477642"/>
    <w:rsid w:val="004804ED"/>
    <w:rsid w:val="004855C7"/>
    <w:rsid w:val="00485E25"/>
    <w:rsid w:val="0048668A"/>
    <w:rsid w:val="004910A4"/>
    <w:rsid w:val="00491690"/>
    <w:rsid w:val="00493508"/>
    <w:rsid w:val="00494D8C"/>
    <w:rsid w:val="004A05FB"/>
    <w:rsid w:val="004A2016"/>
    <w:rsid w:val="004A6CBA"/>
    <w:rsid w:val="004A75EA"/>
    <w:rsid w:val="004A7691"/>
    <w:rsid w:val="004B2929"/>
    <w:rsid w:val="004B553E"/>
    <w:rsid w:val="004B653B"/>
    <w:rsid w:val="004C26C6"/>
    <w:rsid w:val="004C4862"/>
    <w:rsid w:val="004D4D38"/>
    <w:rsid w:val="004D6B3A"/>
    <w:rsid w:val="004E0AC6"/>
    <w:rsid w:val="004E2611"/>
    <w:rsid w:val="004E546A"/>
    <w:rsid w:val="004E5768"/>
    <w:rsid w:val="004E59BF"/>
    <w:rsid w:val="004E7CBA"/>
    <w:rsid w:val="004E7FB1"/>
    <w:rsid w:val="004F15EE"/>
    <w:rsid w:val="004F2755"/>
    <w:rsid w:val="00507236"/>
    <w:rsid w:val="005213E8"/>
    <w:rsid w:val="005229BE"/>
    <w:rsid w:val="0052627E"/>
    <w:rsid w:val="00533748"/>
    <w:rsid w:val="00537645"/>
    <w:rsid w:val="0054351C"/>
    <w:rsid w:val="00543AB6"/>
    <w:rsid w:val="00543E20"/>
    <w:rsid w:val="00547544"/>
    <w:rsid w:val="005536F1"/>
    <w:rsid w:val="00553B42"/>
    <w:rsid w:val="00555529"/>
    <w:rsid w:val="00566162"/>
    <w:rsid w:val="00570B8C"/>
    <w:rsid w:val="0057297A"/>
    <w:rsid w:val="005750C5"/>
    <w:rsid w:val="00580AF5"/>
    <w:rsid w:val="005816A0"/>
    <w:rsid w:val="00587D55"/>
    <w:rsid w:val="0059068C"/>
    <w:rsid w:val="005A3536"/>
    <w:rsid w:val="005A4C3B"/>
    <w:rsid w:val="005A5196"/>
    <w:rsid w:val="005A6660"/>
    <w:rsid w:val="005A6C1F"/>
    <w:rsid w:val="005A7CEA"/>
    <w:rsid w:val="005B3787"/>
    <w:rsid w:val="005B3BF6"/>
    <w:rsid w:val="005C4E33"/>
    <w:rsid w:val="005C6500"/>
    <w:rsid w:val="005C70BC"/>
    <w:rsid w:val="005D04F4"/>
    <w:rsid w:val="005D320F"/>
    <w:rsid w:val="005D487C"/>
    <w:rsid w:val="005D4A71"/>
    <w:rsid w:val="005D6B68"/>
    <w:rsid w:val="005D701B"/>
    <w:rsid w:val="005E1765"/>
    <w:rsid w:val="005E2920"/>
    <w:rsid w:val="005E3176"/>
    <w:rsid w:val="005E44EB"/>
    <w:rsid w:val="005E5744"/>
    <w:rsid w:val="005F122A"/>
    <w:rsid w:val="005F12C5"/>
    <w:rsid w:val="005F4E23"/>
    <w:rsid w:val="005F5271"/>
    <w:rsid w:val="005F626B"/>
    <w:rsid w:val="005F6282"/>
    <w:rsid w:val="005F6648"/>
    <w:rsid w:val="005F7AE4"/>
    <w:rsid w:val="0060045C"/>
    <w:rsid w:val="00603A9E"/>
    <w:rsid w:val="00606F84"/>
    <w:rsid w:val="006116D1"/>
    <w:rsid w:val="00624410"/>
    <w:rsid w:val="00625C91"/>
    <w:rsid w:val="00632C70"/>
    <w:rsid w:val="00634374"/>
    <w:rsid w:val="00635A4A"/>
    <w:rsid w:val="006409DF"/>
    <w:rsid w:val="00642172"/>
    <w:rsid w:val="00645A48"/>
    <w:rsid w:val="00665440"/>
    <w:rsid w:val="00665FB0"/>
    <w:rsid w:val="00671ADE"/>
    <w:rsid w:val="006722A9"/>
    <w:rsid w:val="00673E8C"/>
    <w:rsid w:val="006770F0"/>
    <w:rsid w:val="00685DC3"/>
    <w:rsid w:val="00686068"/>
    <w:rsid w:val="00687AB6"/>
    <w:rsid w:val="00687D10"/>
    <w:rsid w:val="00690AB5"/>
    <w:rsid w:val="00692D0A"/>
    <w:rsid w:val="00694E22"/>
    <w:rsid w:val="006956AB"/>
    <w:rsid w:val="00695F3F"/>
    <w:rsid w:val="00696E5E"/>
    <w:rsid w:val="00697756"/>
    <w:rsid w:val="006A0136"/>
    <w:rsid w:val="006A15C5"/>
    <w:rsid w:val="006A2677"/>
    <w:rsid w:val="006A7A6B"/>
    <w:rsid w:val="006B0B8D"/>
    <w:rsid w:val="006B59B3"/>
    <w:rsid w:val="006B7768"/>
    <w:rsid w:val="006B7E2F"/>
    <w:rsid w:val="006C5606"/>
    <w:rsid w:val="006C5BA1"/>
    <w:rsid w:val="006C6380"/>
    <w:rsid w:val="006D0897"/>
    <w:rsid w:val="006D29C5"/>
    <w:rsid w:val="006D2FD3"/>
    <w:rsid w:val="006D3521"/>
    <w:rsid w:val="006D764B"/>
    <w:rsid w:val="006F1EC8"/>
    <w:rsid w:val="006F572C"/>
    <w:rsid w:val="006F7E4E"/>
    <w:rsid w:val="00705660"/>
    <w:rsid w:val="0070626C"/>
    <w:rsid w:val="00707911"/>
    <w:rsid w:val="007131BA"/>
    <w:rsid w:val="00724E8C"/>
    <w:rsid w:val="00730118"/>
    <w:rsid w:val="0073394C"/>
    <w:rsid w:val="007356D3"/>
    <w:rsid w:val="0073642D"/>
    <w:rsid w:val="00736970"/>
    <w:rsid w:val="00737DB2"/>
    <w:rsid w:val="0074137A"/>
    <w:rsid w:val="00761046"/>
    <w:rsid w:val="007628ED"/>
    <w:rsid w:val="0076470E"/>
    <w:rsid w:val="00764755"/>
    <w:rsid w:val="00765247"/>
    <w:rsid w:val="0076571D"/>
    <w:rsid w:val="00766F39"/>
    <w:rsid w:val="00772C30"/>
    <w:rsid w:val="00774F02"/>
    <w:rsid w:val="00775D4C"/>
    <w:rsid w:val="007779AD"/>
    <w:rsid w:val="00784566"/>
    <w:rsid w:val="00791706"/>
    <w:rsid w:val="00792DFA"/>
    <w:rsid w:val="00794484"/>
    <w:rsid w:val="00794AB3"/>
    <w:rsid w:val="007A17D7"/>
    <w:rsid w:val="007A19FA"/>
    <w:rsid w:val="007A4167"/>
    <w:rsid w:val="007A42B5"/>
    <w:rsid w:val="007B2D96"/>
    <w:rsid w:val="007C093C"/>
    <w:rsid w:val="007C0B2B"/>
    <w:rsid w:val="007C3CBF"/>
    <w:rsid w:val="007C5D73"/>
    <w:rsid w:val="007D003A"/>
    <w:rsid w:val="007D4BAB"/>
    <w:rsid w:val="007D6218"/>
    <w:rsid w:val="007E314E"/>
    <w:rsid w:val="007E3199"/>
    <w:rsid w:val="007F36F4"/>
    <w:rsid w:val="007F3A7F"/>
    <w:rsid w:val="007F6F49"/>
    <w:rsid w:val="00804781"/>
    <w:rsid w:val="008051AF"/>
    <w:rsid w:val="0080761D"/>
    <w:rsid w:val="00813D6B"/>
    <w:rsid w:val="008218C7"/>
    <w:rsid w:val="00823492"/>
    <w:rsid w:val="008323D0"/>
    <w:rsid w:val="00833552"/>
    <w:rsid w:val="00833787"/>
    <w:rsid w:val="0083502D"/>
    <w:rsid w:val="00835CD8"/>
    <w:rsid w:val="008364AE"/>
    <w:rsid w:val="00842E74"/>
    <w:rsid w:val="00846D04"/>
    <w:rsid w:val="00853D95"/>
    <w:rsid w:val="00853E6C"/>
    <w:rsid w:val="00854047"/>
    <w:rsid w:val="00855571"/>
    <w:rsid w:val="00871AB5"/>
    <w:rsid w:val="00871DE2"/>
    <w:rsid w:val="00877E15"/>
    <w:rsid w:val="008855BC"/>
    <w:rsid w:val="008860A9"/>
    <w:rsid w:val="00887F8D"/>
    <w:rsid w:val="00891206"/>
    <w:rsid w:val="0089358F"/>
    <w:rsid w:val="008A55A4"/>
    <w:rsid w:val="008A6398"/>
    <w:rsid w:val="008B0951"/>
    <w:rsid w:val="008B2A02"/>
    <w:rsid w:val="008B3566"/>
    <w:rsid w:val="008B3AE5"/>
    <w:rsid w:val="008C24EA"/>
    <w:rsid w:val="008C3262"/>
    <w:rsid w:val="008C4ECF"/>
    <w:rsid w:val="008D4EFD"/>
    <w:rsid w:val="008E3015"/>
    <w:rsid w:val="008E3601"/>
    <w:rsid w:val="008E4C0A"/>
    <w:rsid w:val="008E59FC"/>
    <w:rsid w:val="008E7183"/>
    <w:rsid w:val="008F0ECA"/>
    <w:rsid w:val="008F31CD"/>
    <w:rsid w:val="008F43C0"/>
    <w:rsid w:val="008F7826"/>
    <w:rsid w:val="008F7E68"/>
    <w:rsid w:val="00901C00"/>
    <w:rsid w:val="00902962"/>
    <w:rsid w:val="00903AF1"/>
    <w:rsid w:val="009042C2"/>
    <w:rsid w:val="0090499F"/>
    <w:rsid w:val="00910838"/>
    <w:rsid w:val="009137F5"/>
    <w:rsid w:val="0091587E"/>
    <w:rsid w:val="0092108E"/>
    <w:rsid w:val="00921312"/>
    <w:rsid w:val="00921D13"/>
    <w:rsid w:val="00922AE8"/>
    <w:rsid w:val="00926CE7"/>
    <w:rsid w:val="0092787D"/>
    <w:rsid w:val="00931EFD"/>
    <w:rsid w:val="00931FCD"/>
    <w:rsid w:val="009357DA"/>
    <w:rsid w:val="009375DF"/>
    <w:rsid w:val="00940388"/>
    <w:rsid w:val="00940885"/>
    <w:rsid w:val="00940DC6"/>
    <w:rsid w:val="0094136C"/>
    <w:rsid w:val="009460F8"/>
    <w:rsid w:val="009479A1"/>
    <w:rsid w:val="00947F03"/>
    <w:rsid w:val="009527F8"/>
    <w:rsid w:val="00953D93"/>
    <w:rsid w:val="00966B6E"/>
    <w:rsid w:val="00970571"/>
    <w:rsid w:val="00971687"/>
    <w:rsid w:val="009724EC"/>
    <w:rsid w:val="009727D0"/>
    <w:rsid w:val="00972852"/>
    <w:rsid w:val="00973444"/>
    <w:rsid w:val="009746A4"/>
    <w:rsid w:val="009771B5"/>
    <w:rsid w:val="00980966"/>
    <w:rsid w:val="009825E1"/>
    <w:rsid w:val="00987CAA"/>
    <w:rsid w:val="00990EA2"/>
    <w:rsid w:val="0099283B"/>
    <w:rsid w:val="00994B25"/>
    <w:rsid w:val="00994EFF"/>
    <w:rsid w:val="0099508F"/>
    <w:rsid w:val="009A2CD5"/>
    <w:rsid w:val="009A4287"/>
    <w:rsid w:val="009A555E"/>
    <w:rsid w:val="009A5D2E"/>
    <w:rsid w:val="009A6864"/>
    <w:rsid w:val="009B43D6"/>
    <w:rsid w:val="009B5769"/>
    <w:rsid w:val="009B756E"/>
    <w:rsid w:val="009C043C"/>
    <w:rsid w:val="009C1A29"/>
    <w:rsid w:val="009C2131"/>
    <w:rsid w:val="009C53F0"/>
    <w:rsid w:val="009D06FC"/>
    <w:rsid w:val="009D12AA"/>
    <w:rsid w:val="009D70FA"/>
    <w:rsid w:val="009F1FE2"/>
    <w:rsid w:val="009F2F58"/>
    <w:rsid w:val="00A023DB"/>
    <w:rsid w:val="00A03D1A"/>
    <w:rsid w:val="00A10D6F"/>
    <w:rsid w:val="00A16450"/>
    <w:rsid w:val="00A220EC"/>
    <w:rsid w:val="00A23384"/>
    <w:rsid w:val="00A30825"/>
    <w:rsid w:val="00A30940"/>
    <w:rsid w:val="00A33D31"/>
    <w:rsid w:val="00A34333"/>
    <w:rsid w:val="00A35F4D"/>
    <w:rsid w:val="00A3766C"/>
    <w:rsid w:val="00A37837"/>
    <w:rsid w:val="00A37D9F"/>
    <w:rsid w:val="00A37ED1"/>
    <w:rsid w:val="00A4116A"/>
    <w:rsid w:val="00A42C07"/>
    <w:rsid w:val="00A54592"/>
    <w:rsid w:val="00A54EBF"/>
    <w:rsid w:val="00A6003C"/>
    <w:rsid w:val="00A6170E"/>
    <w:rsid w:val="00A6202C"/>
    <w:rsid w:val="00A633D7"/>
    <w:rsid w:val="00A64538"/>
    <w:rsid w:val="00A71632"/>
    <w:rsid w:val="00A75CD5"/>
    <w:rsid w:val="00A80FC7"/>
    <w:rsid w:val="00A81488"/>
    <w:rsid w:val="00A83799"/>
    <w:rsid w:val="00A852DF"/>
    <w:rsid w:val="00A85DA5"/>
    <w:rsid w:val="00A9144A"/>
    <w:rsid w:val="00A93F64"/>
    <w:rsid w:val="00A94C04"/>
    <w:rsid w:val="00AA1F88"/>
    <w:rsid w:val="00AB0BBF"/>
    <w:rsid w:val="00AB1F21"/>
    <w:rsid w:val="00AB4AA2"/>
    <w:rsid w:val="00AB7A48"/>
    <w:rsid w:val="00AC0E4D"/>
    <w:rsid w:val="00AC3E38"/>
    <w:rsid w:val="00AC3E73"/>
    <w:rsid w:val="00AE48C8"/>
    <w:rsid w:val="00AF1538"/>
    <w:rsid w:val="00B110CF"/>
    <w:rsid w:val="00B11548"/>
    <w:rsid w:val="00B11E1B"/>
    <w:rsid w:val="00B13ADA"/>
    <w:rsid w:val="00B173A6"/>
    <w:rsid w:val="00B262AE"/>
    <w:rsid w:val="00B26DCD"/>
    <w:rsid w:val="00B3385F"/>
    <w:rsid w:val="00B344F6"/>
    <w:rsid w:val="00B407E8"/>
    <w:rsid w:val="00B45453"/>
    <w:rsid w:val="00B527DC"/>
    <w:rsid w:val="00B52CDD"/>
    <w:rsid w:val="00B5490D"/>
    <w:rsid w:val="00B62A5C"/>
    <w:rsid w:val="00B70A93"/>
    <w:rsid w:val="00B713C1"/>
    <w:rsid w:val="00B72089"/>
    <w:rsid w:val="00B74889"/>
    <w:rsid w:val="00B85AB5"/>
    <w:rsid w:val="00B8657B"/>
    <w:rsid w:val="00B90080"/>
    <w:rsid w:val="00B9531D"/>
    <w:rsid w:val="00B969BE"/>
    <w:rsid w:val="00B96C9F"/>
    <w:rsid w:val="00B97BFC"/>
    <w:rsid w:val="00BA2E4D"/>
    <w:rsid w:val="00BA7156"/>
    <w:rsid w:val="00BA7EC6"/>
    <w:rsid w:val="00BB19EE"/>
    <w:rsid w:val="00BB2E5D"/>
    <w:rsid w:val="00BC417C"/>
    <w:rsid w:val="00BC7010"/>
    <w:rsid w:val="00BD4690"/>
    <w:rsid w:val="00BD482E"/>
    <w:rsid w:val="00BD57E4"/>
    <w:rsid w:val="00BD6159"/>
    <w:rsid w:val="00BE0DAE"/>
    <w:rsid w:val="00BF0212"/>
    <w:rsid w:val="00C024BD"/>
    <w:rsid w:val="00C03739"/>
    <w:rsid w:val="00C053EC"/>
    <w:rsid w:val="00C101F6"/>
    <w:rsid w:val="00C10B6A"/>
    <w:rsid w:val="00C145A2"/>
    <w:rsid w:val="00C22A20"/>
    <w:rsid w:val="00C274BE"/>
    <w:rsid w:val="00C30107"/>
    <w:rsid w:val="00C35530"/>
    <w:rsid w:val="00C4575D"/>
    <w:rsid w:val="00C457FE"/>
    <w:rsid w:val="00C46473"/>
    <w:rsid w:val="00C515B4"/>
    <w:rsid w:val="00C56E27"/>
    <w:rsid w:val="00C612A2"/>
    <w:rsid w:val="00C670D7"/>
    <w:rsid w:val="00C76628"/>
    <w:rsid w:val="00C8336F"/>
    <w:rsid w:val="00C84358"/>
    <w:rsid w:val="00C8716F"/>
    <w:rsid w:val="00C874DE"/>
    <w:rsid w:val="00C92A4B"/>
    <w:rsid w:val="00C939D9"/>
    <w:rsid w:val="00C9548C"/>
    <w:rsid w:val="00C97E08"/>
    <w:rsid w:val="00CA2C4A"/>
    <w:rsid w:val="00CA4B76"/>
    <w:rsid w:val="00CA64A0"/>
    <w:rsid w:val="00CB013C"/>
    <w:rsid w:val="00CB0316"/>
    <w:rsid w:val="00CB38D6"/>
    <w:rsid w:val="00CB4777"/>
    <w:rsid w:val="00CC25ED"/>
    <w:rsid w:val="00CC667F"/>
    <w:rsid w:val="00CD5C8D"/>
    <w:rsid w:val="00CE165F"/>
    <w:rsid w:val="00CE2479"/>
    <w:rsid w:val="00CE64E3"/>
    <w:rsid w:val="00CF0FBA"/>
    <w:rsid w:val="00CF1C77"/>
    <w:rsid w:val="00CF363F"/>
    <w:rsid w:val="00CF50C0"/>
    <w:rsid w:val="00CF703F"/>
    <w:rsid w:val="00D04312"/>
    <w:rsid w:val="00D11DC5"/>
    <w:rsid w:val="00D212AA"/>
    <w:rsid w:val="00D224C3"/>
    <w:rsid w:val="00D278F1"/>
    <w:rsid w:val="00D27A1A"/>
    <w:rsid w:val="00D27F12"/>
    <w:rsid w:val="00D36D95"/>
    <w:rsid w:val="00D50085"/>
    <w:rsid w:val="00D5276C"/>
    <w:rsid w:val="00D52833"/>
    <w:rsid w:val="00D54043"/>
    <w:rsid w:val="00D565FB"/>
    <w:rsid w:val="00D57F72"/>
    <w:rsid w:val="00D615B2"/>
    <w:rsid w:val="00D6178C"/>
    <w:rsid w:val="00D630E7"/>
    <w:rsid w:val="00D64664"/>
    <w:rsid w:val="00D72032"/>
    <w:rsid w:val="00D81DB4"/>
    <w:rsid w:val="00D861A3"/>
    <w:rsid w:val="00D9186D"/>
    <w:rsid w:val="00D918BA"/>
    <w:rsid w:val="00D9218E"/>
    <w:rsid w:val="00D92249"/>
    <w:rsid w:val="00D975EE"/>
    <w:rsid w:val="00DA276D"/>
    <w:rsid w:val="00DA37F5"/>
    <w:rsid w:val="00DA41DD"/>
    <w:rsid w:val="00DA4892"/>
    <w:rsid w:val="00DA5F4A"/>
    <w:rsid w:val="00DA6706"/>
    <w:rsid w:val="00DB215D"/>
    <w:rsid w:val="00DB3C33"/>
    <w:rsid w:val="00DC1D6E"/>
    <w:rsid w:val="00DC2AC2"/>
    <w:rsid w:val="00DC3F93"/>
    <w:rsid w:val="00DD24A8"/>
    <w:rsid w:val="00DD2E11"/>
    <w:rsid w:val="00DD776E"/>
    <w:rsid w:val="00DE0BDA"/>
    <w:rsid w:val="00DE51FE"/>
    <w:rsid w:val="00DE6647"/>
    <w:rsid w:val="00DF2ECD"/>
    <w:rsid w:val="00DF6617"/>
    <w:rsid w:val="00DF6975"/>
    <w:rsid w:val="00DF7C7E"/>
    <w:rsid w:val="00E02C54"/>
    <w:rsid w:val="00E03305"/>
    <w:rsid w:val="00E05921"/>
    <w:rsid w:val="00E07CC9"/>
    <w:rsid w:val="00E10D4C"/>
    <w:rsid w:val="00E15232"/>
    <w:rsid w:val="00E17612"/>
    <w:rsid w:val="00E2159F"/>
    <w:rsid w:val="00E23414"/>
    <w:rsid w:val="00E23E5B"/>
    <w:rsid w:val="00E25AC1"/>
    <w:rsid w:val="00E275A5"/>
    <w:rsid w:val="00E32795"/>
    <w:rsid w:val="00E330F5"/>
    <w:rsid w:val="00E37647"/>
    <w:rsid w:val="00E41381"/>
    <w:rsid w:val="00E42A8E"/>
    <w:rsid w:val="00E4741E"/>
    <w:rsid w:val="00E61FF0"/>
    <w:rsid w:val="00E72647"/>
    <w:rsid w:val="00E74776"/>
    <w:rsid w:val="00E748EE"/>
    <w:rsid w:val="00E7547B"/>
    <w:rsid w:val="00E8719D"/>
    <w:rsid w:val="00E9210B"/>
    <w:rsid w:val="00EA043B"/>
    <w:rsid w:val="00EA0A1A"/>
    <w:rsid w:val="00EA4F70"/>
    <w:rsid w:val="00EA597A"/>
    <w:rsid w:val="00EB631F"/>
    <w:rsid w:val="00EB665F"/>
    <w:rsid w:val="00EB767A"/>
    <w:rsid w:val="00EB7923"/>
    <w:rsid w:val="00EC0C76"/>
    <w:rsid w:val="00EC1F9E"/>
    <w:rsid w:val="00EC397E"/>
    <w:rsid w:val="00EC3A36"/>
    <w:rsid w:val="00EC3EF3"/>
    <w:rsid w:val="00EC72DC"/>
    <w:rsid w:val="00ED037D"/>
    <w:rsid w:val="00ED1699"/>
    <w:rsid w:val="00ED4B71"/>
    <w:rsid w:val="00ED7498"/>
    <w:rsid w:val="00ED74B8"/>
    <w:rsid w:val="00EE1581"/>
    <w:rsid w:val="00EE7F5B"/>
    <w:rsid w:val="00EF0391"/>
    <w:rsid w:val="00EF328B"/>
    <w:rsid w:val="00EF5352"/>
    <w:rsid w:val="00EF67F9"/>
    <w:rsid w:val="00F02637"/>
    <w:rsid w:val="00F02913"/>
    <w:rsid w:val="00F04606"/>
    <w:rsid w:val="00F071EA"/>
    <w:rsid w:val="00F107BB"/>
    <w:rsid w:val="00F116E5"/>
    <w:rsid w:val="00F13708"/>
    <w:rsid w:val="00F13F6A"/>
    <w:rsid w:val="00F14897"/>
    <w:rsid w:val="00F155B5"/>
    <w:rsid w:val="00F218F0"/>
    <w:rsid w:val="00F25F8F"/>
    <w:rsid w:val="00F310E6"/>
    <w:rsid w:val="00F315E4"/>
    <w:rsid w:val="00F3320F"/>
    <w:rsid w:val="00F3668F"/>
    <w:rsid w:val="00F4240C"/>
    <w:rsid w:val="00F43782"/>
    <w:rsid w:val="00F43B70"/>
    <w:rsid w:val="00F449C7"/>
    <w:rsid w:val="00F470F3"/>
    <w:rsid w:val="00F504BE"/>
    <w:rsid w:val="00F51566"/>
    <w:rsid w:val="00F538CF"/>
    <w:rsid w:val="00F5419A"/>
    <w:rsid w:val="00F71623"/>
    <w:rsid w:val="00F722F8"/>
    <w:rsid w:val="00F73E12"/>
    <w:rsid w:val="00F74B24"/>
    <w:rsid w:val="00F75940"/>
    <w:rsid w:val="00F77455"/>
    <w:rsid w:val="00F82393"/>
    <w:rsid w:val="00F8336B"/>
    <w:rsid w:val="00F848EF"/>
    <w:rsid w:val="00F85654"/>
    <w:rsid w:val="00F865EB"/>
    <w:rsid w:val="00F93510"/>
    <w:rsid w:val="00F95FD0"/>
    <w:rsid w:val="00FA15D3"/>
    <w:rsid w:val="00FA2D78"/>
    <w:rsid w:val="00FA458E"/>
    <w:rsid w:val="00FA5CF1"/>
    <w:rsid w:val="00FA6539"/>
    <w:rsid w:val="00FA70BE"/>
    <w:rsid w:val="00FB27C5"/>
    <w:rsid w:val="00FC1067"/>
    <w:rsid w:val="00FC5D5F"/>
    <w:rsid w:val="00FD0E8A"/>
    <w:rsid w:val="00FD5AB9"/>
    <w:rsid w:val="00FD63B9"/>
    <w:rsid w:val="00FE595B"/>
    <w:rsid w:val="00FE7544"/>
    <w:rsid w:val="00FE7647"/>
    <w:rsid w:val="00FE7C2F"/>
    <w:rsid w:val="00FF3F21"/>
    <w:rsid w:val="00FF45E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269A10"/>
  <w15:docId w15:val="{DB878481-2B47-4C8B-98EE-E08FA154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18"/>
        <w:szCs w:val="24"/>
        <w:lang w:val="en-GB" w:eastAsia="zh-TW" w:bidi="ar-SA"/>
      </w:rPr>
    </w:rPrDefault>
    <w:pPrDefault/>
  </w:docDefaults>
  <w:latentStyles w:defLockedState="0" w:defUIPriority="98"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uiPriority="0"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atentStyles>
  <w:style w:type="paragraph" w:styleId="Normal" w:default="1">
    <w:name w:val="Normal"/>
    <w:qFormat/>
    <w:rsid w:val="007131BA"/>
    <w:pPr>
      <w:spacing w:line="264" w:lineRule="auto"/>
      <w:jc w:val="both"/>
    </w:pPr>
    <w:rPr>
      <w:rFonts w:ascii="Verdana" w:hAnsi="Verdana" w:eastAsia="Times New Roman" w:cs="Times New Roman"/>
      <w:szCs w:val="18"/>
      <w:lang w:eastAsia="en-GB"/>
    </w:rPr>
  </w:style>
  <w:style w:type="paragraph" w:styleId="Heading1">
    <w:name w:val="heading 1"/>
    <w:basedOn w:val="NormalAshurst"/>
    <w:uiPriority w:val="98"/>
    <w:semiHidden/>
    <w:rsid w:val="00B12EF5"/>
    <w:pPr>
      <w:numPr>
        <w:numId w:val="1"/>
      </w:numPr>
      <w:outlineLvl w:val="0"/>
    </w:pPr>
    <w:rPr>
      <w:bCs/>
      <w:kern w:val="32"/>
    </w:rPr>
  </w:style>
  <w:style w:type="paragraph" w:styleId="Heading2">
    <w:name w:val="heading 2"/>
    <w:basedOn w:val="NormalAshurst"/>
    <w:uiPriority w:val="98"/>
    <w:semiHidden/>
    <w:rsid w:val="00B12EF5"/>
    <w:pPr>
      <w:numPr>
        <w:ilvl w:val="1"/>
        <w:numId w:val="1"/>
      </w:numPr>
      <w:outlineLvl w:val="1"/>
    </w:pPr>
    <w:rPr>
      <w:bCs/>
      <w:iCs/>
    </w:rPr>
  </w:style>
  <w:style w:type="paragraph" w:styleId="Heading3">
    <w:name w:val="heading 3"/>
    <w:basedOn w:val="NormalAshurst"/>
    <w:uiPriority w:val="98"/>
    <w:semiHidden/>
    <w:rsid w:val="00B12EF5"/>
    <w:pPr>
      <w:numPr>
        <w:ilvl w:val="2"/>
        <w:numId w:val="1"/>
      </w:numPr>
      <w:outlineLvl w:val="2"/>
    </w:pPr>
    <w:rPr>
      <w:bCs/>
    </w:rPr>
  </w:style>
  <w:style w:type="paragraph" w:styleId="Heading4">
    <w:name w:val="heading 4"/>
    <w:basedOn w:val="NormalAshurst"/>
    <w:uiPriority w:val="98"/>
    <w:semiHidden/>
    <w:rsid w:val="00B12EF5"/>
    <w:pPr>
      <w:numPr>
        <w:ilvl w:val="3"/>
        <w:numId w:val="1"/>
      </w:numPr>
      <w:outlineLvl w:val="3"/>
    </w:pPr>
    <w:rPr>
      <w:bCs/>
    </w:rPr>
  </w:style>
  <w:style w:type="paragraph" w:styleId="Heading5">
    <w:name w:val="heading 5"/>
    <w:basedOn w:val="NormalAshurst"/>
    <w:uiPriority w:val="98"/>
    <w:semiHidden/>
    <w:rsid w:val="00B12EF5"/>
    <w:pPr>
      <w:numPr>
        <w:ilvl w:val="4"/>
        <w:numId w:val="1"/>
      </w:numPr>
      <w:outlineLvl w:val="4"/>
    </w:pPr>
    <w:rPr>
      <w:bCs/>
      <w:iCs/>
    </w:rPr>
  </w:style>
  <w:style w:type="paragraph" w:styleId="Heading6">
    <w:name w:val="heading 6"/>
    <w:basedOn w:val="NormalAshurst"/>
    <w:uiPriority w:val="98"/>
    <w:semiHidden/>
    <w:rsid w:val="00B12EF5"/>
    <w:pPr>
      <w:numPr>
        <w:ilvl w:val="5"/>
        <w:numId w:val="1"/>
      </w:numPr>
      <w:outlineLvl w:val="5"/>
    </w:pPr>
    <w:rPr>
      <w:bCs/>
    </w:rPr>
  </w:style>
  <w:style w:type="paragraph" w:styleId="Heading7">
    <w:name w:val="heading 7"/>
    <w:basedOn w:val="NormalAshurst"/>
    <w:uiPriority w:val="98"/>
    <w:semiHidden/>
    <w:rsid w:val="00B12EF5"/>
    <w:pPr>
      <w:numPr>
        <w:ilvl w:val="6"/>
        <w:numId w:val="1"/>
      </w:numPr>
      <w:outlineLvl w:val="6"/>
    </w:pPr>
  </w:style>
  <w:style w:type="paragraph" w:styleId="Heading8">
    <w:name w:val="heading 8"/>
    <w:basedOn w:val="NormalAshurst"/>
    <w:uiPriority w:val="98"/>
    <w:semiHidden/>
    <w:rsid w:val="00B12EF5"/>
    <w:pPr>
      <w:numPr>
        <w:ilvl w:val="7"/>
        <w:numId w:val="1"/>
      </w:numPr>
      <w:outlineLvl w:val="7"/>
    </w:pPr>
    <w:rPr>
      <w:iCs/>
    </w:rPr>
  </w:style>
  <w:style w:type="paragraph" w:styleId="Heading9">
    <w:name w:val="heading 9"/>
    <w:basedOn w:val="NormalAshurst"/>
    <w:uiPriority w:val="98"/>
    <w:semiHidden/>
    <w:rsid w:val="00B12EF5"/>
    <w:pPr>
      <w:numPr>
        <w:ilvl w:val="8"/>
        <w:numId w:val="1"/>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Ashurst" w:customStyle="1">
    <w:name w:val="NormalAshurst"/>
    <w:link w:val="NormalAshurstChar"/>
    <w:qFormat/>
    <w:rsid w:val="00B12EF5"/>
    <w:pPr>
      <w:suppressAutoHyphens/>
      <w:spacing w:after="220" w:line="264" w:lineRule="auto"/>
      <w:jc w:val="both"/>
    </w:pPr>
  </w:style>
  <w:style w:type="paragraph" w:styleId="StandardAshurst" w:customStyle="1">
    <w:name w:val="StandardAshurst"/>
    <w:basedOn w:val="NormalAshurst"/>
    <w:link w:val="StandardAshurstChar"/>
    <w:qFormat/>
    <w:rsid w:val="00B12EF5"/>
    <w:pPr>
      <w:spacing w:after="0"/>
    </w:pPr>
  </w:style>
  <w:style w:type="paragraph" w:styleId="Index1">
    <w:name w:val="index 1"/>
    <w:basedOn w:val="Normal"/>
    <w:next w:val="Normal"/>
    <w:uiPriority w:val="98"/>
    <w:semiHidden/>
    <w:rsid w:val="00B12EF5"/>
    <w:pPr>
      <w:spacing w:line="240" w:lineRule="auto"/>
      <w:ind w:left="180" w:hanging="180"/>
    </w:pPr>
  </w:style>
  <w:style w:type="paragraph" w:styleId="B3Ashurst" w:customStyle="1">
    <w:name w:val="B3Ashurst"/>
    <w:basedOn w:val="NormalAshurst"/>
    <w:uiPriority w:val="2"/>
    <w:qFormat/>
    <w:rsid w:val="00B12EF5"/>
    <w:pPr>
      <w:tabs>
        <w:tab w:val="left" w:pos="2030"/>
        <w:tab w:val="left" w:pos="2654"/>
        <w:tab w:val="left" w:pos="3277"/>
        <w:tab w:val="left" w:pos="3901"/>
      </w:tabs>
      <w:ind w:left="1406"/>
    </w:pPr>
  </w:style>
  <w:style w:type="paragraph" w:styleId="BAshurst" w:customStyle="1">
    <w:name w:val="BAshurst"/>
    <w:basedOn w:val="NormalAshurst"/>
    <w:uiPriority w:val="79"/>
    <w:rsid w:val="00B12EF5"/>
    <w:pPr>
      <w:tabs>
        <w:tab w:val="left" w:pos="782"/>
        <w:tab w:val="left" w:pos="1406"/>
        <w:tab w:val="left" w:pos="2030"/>
        <w:tab w:val="left" w:pos="2654"/>
        <w:tab w:val="left" w:pos="3277"/>
        <w:tab w:val="left" w:pos="3901"/>
      </w:tabs>
    </w:pPr>
  </w:style>
  <w:style w:type="paragraph" w:styleId="B4Ashurst" w:customStyle="1">
    <w:name w:val="B4Ashurst"/>
    <w:basedOn w:val="NormalAshurst"/>
    <w:uiPriority w:val="56"/>
    <w:rsid w:val="00B12EF5"/>
    <w:pPr>
      <w:tabs>
        <w:tab w:val="left" w:pos="2654"/>
        <w:tab w:val="left" w:pos="3277"/>
        <w:tab w:val="left" w:pos="3901"/>
      </w:tabs>
      <w:ind w:left="2030"/>
    </w:pPr>
  </w:style>
  <w:style w:type="paragraph" w:styleId="B5Ashurst" w:customStyle="1">
    <w:name w:val="B5Ashurst"/>
    <w:basedOn w:val="NormalAshurst"/>
    <w:uiPriority w:val="56"/>
    <w:rsid w:val="00B12EF5"/>
    <w:pPr>
      <w:tabs>
        <w:tab w:val="left" w:pos="3277"/>
        <w:tab w:val="left" w:pos="3901"/>
      </w:tabs>
      <w:ind w:left="2654"/>
    </w:pPr>
  </w:style>
  <w:style w:type="paragraph" w:styleId="B6Ashurst" w:customStyle="1">
    <w:name w:val="B6Ashurst"/>
    <w:basedOn w:val="NormalAshurst"/>
    <w:uiPriority w:val="56"/>
    <w:rsid w:val="00B12EF5"/>
    <w:pPr>
      <w:tabs>
        <w:tab w:val="left" w:pos="3901"/>
      </w:tabs>
      <w:ind w:left="3277"/>
    </w:pPr>
  </w:style>
  <w:style w:type="paragraph" w:styleId="CBOLDCAPSAshurst" w:customStyle="1">
    <w:name w:val="CBOLDCAPSAshurst"/>
    <w:basedOn w:val="NormalAshurst"/>
    <w:uiPriority w:val="60"/>
    <w:rsid w:val="00B12EF5"/>
    <w:pPr>
      <w:keepNext/>
      <w:jc w:val="center"/>
    </w:pPr>
    <w:rPr>
      <w:b/>
      <w:caps/>
    </w:rPr>
  </w:style>
  <w:style w:type="paragraph" w:styleId="EndnoteMore" w:customStyle="1">
    <w:name w:val="Endnote More"/>
    <w:basedOn w:val="FootnoteMore"/>
    <w:uiPriority w:val="79"/>
    <w:rsid w:val="00B12EF5"/>
  </w:style>
  <w:style w:type="paragraph" w:styleId="LBOLDCAPSAshurst" w:customStyle="1">
    <w:name w:val="LBOLDCAPSAshurst"/>
    <w:basedOn w:val="NormalAshurst"/>
    <w:uiPriority w:val="60"/>
    <w:rsid w:val="00B12EF5"/>
    <w:pPr>
      <w:keepNext/>
      <w:jc w:val="left"/>
    </w:pPr>
    <w:rPr>
      <w:b/>
      <w:caps/>
    </w:rPr>
  </w:style>
  <w:style w:type="paragraph" w:styleId="RBOLDCAPSAshurst" w:customStyle="1">
    <w:name w:val="RBOLDCAPSAshurst"/>
    <w:basedOn w:val="NormalAshurst"/>
    <w:uiPriority w:val="60"/>
    <w:rsid w:val="00B12EF5"/>
    <w:pPr>
      <w:keepNext/>
      <w:jc w:val="right"/>
    </w:pPr>
    <w:rPr>
      <w:b/>
      <w:caps/>
    </w:rPr>
  </w:style>
  <w:style w:type="paragraph" w:styleId="SCHEDULEAshurst" w:customStyle="1">
    <w:name w:val="SCHEDULEAshurst"/>
    <w:basedOn w:val="NormalAshurst"/>
    <w:next w:val="SchSubAshurst"/>
    <w:uiPriority w:val="79"/>
    <w:rsid w:val="00B12EF5"/>
    <w:pPr>
      <w:keepNext/>
      <w:numPr>
        <w:numId w:val="15"/>
      </w:numPr>
      <w:jc w:val="center"/>
      <w:outlineLvl w:val="0"/>
    </w:pPr>
    <w:rPr>
      <w:b/>
      <w:caps/>
    </w:rPr>
  </w:style>
  <w:style w:type="paragraph" w:styleId="SchSubAshurst" w:customStyle="1">
    <w:name w:val="SchSubAshurst"/>
    <w:basedOn w:val="NormalAshurst"/>
    <w:next w:val="NormalAshurst"/>
    <w:uiPriority w:val="42"/>
    <w:rsid w:val="00B12EF5"/>
    <w:pPr>
      <w:keepNext/>
      <w:jc w:val="center"/>
      <w:outlineLvl w:val="1"/>
    </w:pPr>
    <w:rPr>
      <w:b/>
    </w:rPr>
  </w:style>
  <w:style w:type="paragraph" w:styleId="H1Ashurst" w:customStyle="1">
    <w:name w:val="H1Ashurst"/>
    <w:basedOn w:val="NormalAshurst"/>
    <w:next w:val="H2Ashurst"/>
    <w:uiPriority w:val="1"/>
    <w:qFormat/>
    <w:rsid w:val="00B12EF5"/>
    <w:pPr>
      <w:keepNext/>
      <w:numPr>
        <w:numId w:val="32"/>
      </w:numPr>
      <w:outlineLvl w:val="0"/>
    </w:pPr>
    <w:rPr>
      <w:b/>
      <w:caps/>
    </w:rPr>
  </w:style>
  <w:style w:type="paragraph" w:styleId="H2Ashurst" w:customStyle="1">
    <w:name w:val="H2Ashurst"/>
    <w:basedOn w:val="NormalAshurst"/>
    <w:uiPriority w:val="1"/>
    <w:qFormat/>
    <w:rsid w:val="00B12EF5"/>
    <w:pPr>
      <w:numPr>
        <w:ilvl w:val="1"/>
        <w:numId w:val="32"/>
      </w:numPr>
      <w:outlineLvl w:val="1"/>
    </w:pPr>
  </w:style>
  <w:style w:type="paragraph" w:styleId="H3Ashurst" w:customStyle="1">
    <w:name w:val="H3Ashurst"/>
    <w:basedOn w:val="NormalAshurst"/>
    <w:link w:val="H3AshurstChar"/>
    <w:uiPriority w:val="1"/>
    <w:qFormat/>
    <w:rsid w:val="00B12EF5"/>
    <w:pPr>
      <w:numPr>
        <w:ilvl w:val="2"/>
        <w:numId w:val="32"/>
      </w:numPr>
      <w:tabs>
        <w:tab w:val="clear" w:pos="1191"/>
        <w:tab w:val="num" w:pos="1406"/>
      </w:tabs>
      <w:ind w:left="1406"/>
      <w:outlineLvl w:val="2"/>
    </w:pPr>
  </w:style>
  <w:style w:type="paragraph" w:styleId="H4Ashurst" w:customStyle="1">
    <w:name w:val="H4Ashurst"/>
    <w:basedOn w:val="NormalAshurst"/>
    <w:uiPriority w:val="1"/>
    <w:qFormat/>
    <w:rsid w:val="00B12EF5"/>
    <w:pPr>
      <w:numPr>
        <w:ilvl w:val="3"/>
        <w:numId w:val="32"/>
      </w:numPr>
      <w:outlineLvl w:val="3"/>
    </w:pPr>
  </w:style>
  <w:style w:type="paragraph" w:styleId="H5Ashurst" w:customStyle="1">
    <w:name w:val="H5Ashurst"/>
    <w:basedOn w:val="NormalAshurst"/>
    <w:uiPriority w:val="1"/>
    <w:qFormat/>
    <w:rsid w:val="00B12EF5"/>
    <w:pPr>
      <w:numPr>
        <w:ilvl w:val="4"/>
        <w:numId w:val="32"/>
      </w:numPr>
      <w:outlineLvl w:val="4"/>
    </w:pPr>
  </w:style>
  <w:style w:type="paragraph" w:styleId="H6Ashurst" w:customStyle="1">
    <w:name w:val="H6Ashurst"/>
    <w:basedOn w:val="NormalAshurst"/>
    <w:uiPriority w:val="38"/>
    <w:rsid w:val="00B12EF5"/>
    <w:pPr>
      <w:numPr>
        <w:ilvl w:val="5"/>
        <w:numId w:val="32"/>
      </w:numPr>
      <w:outlineLvl w:val="5"/>
    </w:pPr>
  </w:style>
  <w:style w:type="paragraph" w:styleId="SH1Ashurst" w:customStyle="1">
    <w:name w:val="SH1Ashurst"/>
    <w:basedOn w:val="NormalAshurst"/>
    <w:next w:val="SH2Ashurst"/>
    <w:uiPriority w:val="15"/>
    <w:rsid w:val="00B12EF5"/>
    <w:pPr>
      <w:keepNext/>
      <w:numPr>
        <w:numId w:val="16"/>
      </w:numPr>
      <w:outlineLvl w:val="0"/>
    </w:pPr>
    <w:rPr>
      <w:b/>
      <w:caps/>
    </w:rPr>
  </w:style>
  <w:style w:type="paragraph" w:styleId="SH2Ashurst" w:customStyle="1">
    <w:name w:val="SH2Ashurst"/>
    <w:basedOn w:val="NormalAshurst"/>
    <w:uiPriority w:val="15"/>
    <w:rsid w:val="00B12EF5"/>
    <w:pPr>
      <w:numPr>
        <w:ilvl w:val="1"/>
        <w:numId w:val="16"/>
      </w:numPr>
      <w:outlineLvl w:val="1"/>
    </w:pPr>
  </w:style>
  <w:style w:type="paragraph" w:styleId="SH3Ashurst" w:customStyle="1">
    <w:name w:val="SH3Ashurst"/>
    <w:basedOn w:val="NormalAshurst"/>
    <w:uiPriority w:val="15"/>
    <w:rsid w:val="00B12EF5"/>
    <w:pPr>
      <w:numPr>
        <w:ilvl w:val="2"/>
        <w:numId w:val="16"/>
      </w:numPr>
      <w:outlineLvl w:val="2"/>
    </w:pPr>
  </w:style>
  <w:style w:type="paragraph" w:styleId="SH4Ashurst" w:customStyle="1">
    <w:name w:val="SH4Ashurst"/>
    <w:basedOn w:val="NormalAshurst"/>
    <w:uiPriority w:val="15"/>
    <w:rsid w:val="00B12EF5"/>
    <w:pPr>
      <w:numPr>
        <w:ilvl w:val="3"/>
        <w:numId w:val="16"/>
      </w:numPr>
      <w:outlineLvl w:val="3"/>
    </w:pPr>
  </w:style>
  <w:style w:type="paragraph" w:styleId="SH5Ashurst" w:customStyle="1">
    <w:name w:val="SH5Ashurst"/>
    <w:basedOn w:val="NormalAshurst"/>
    <w:uiPriority w:val="44"/>
    <w:rsid w:val="00B12EF5"/>
    <w:pPr>
      <w:numPr>
        <w:ilvl w:val="4"/>
        <w:numId w:val="16"/>
      </w:numPr>
      <w:outlineLvl w:val="4"/>
    </w:pPr>
  </w:style>
  <w:style w:type="paragraph" w:styleId="AltH1Ashurst" w:customStyle="1">
    <w:name w:val="AltH1Ashurst"/>
    <w:basedOn w:val="NormalAshurst"/>
    <w:uiPriority w:val="40"/>
    <w:rsid w:val="00B12EF5"/>
    <w:pPr>
      <w:numPr>
        <w:numId w:val="31"/>
      </w:numPr>
      <w:outlineLvl w:val="0"/>
    </w:pPr>
  </w:style>
  <w:style w:type="paragraph" w:styleId="AltH2Ashurst" w:customStyle="1">
    <w:name w:val="AltH2Ashurst"/>
    <w:basedOn w:val="NormalAshurst"/>
    <w:uiPriority w:val="40"/>
    <w:rsid w:val="00B12EF5"/>
    <w:pPr>
      <w:numPr>
        <w:ilvl w:val="1"/>
        <w:numId w:val="31"/>
      </w:numPr>
      <w:outlineLvl w:val="1"/>
    </w:pPr>
  </w:style>
  <w:style w:type="paragraph" w:styleId="AltH3Ashurst" w:customStyle="1">
    <w:name w:val="AltH3Ashurst"/>
    <w:basedOn w:val="NormalAshurst"/>
    <w:uiPriority w:val="40"/>
    <w:rsid w:val="00B12EF5"/>
    <w:pPr>
      <w:numPr>
        <w:ilvl w:val="2"/>
        <w:numId w:val="31"/>
      </w:numPr>
      <w:outlineLvl w:val="2"/>
    </w:pPr>
  </w:style>
  <w:style w:type="paragraph" w:styleId="AltH4Ashurst" w:customStyle="1">
    <w:name w:val="AltH4Ashurst"/>
    <w:basedOn w:val="NormalAshurst"/>
    <w:uiPriority w:val="40"/>
    <w:rsid w:val="00B12EF5"/>
    <w:pPr>
      <w:numPr>
        <w:ilvl w:val="3"/>
        <w:numId w:val="31"/>
      </w:numPr>
      <w:outlineLvl w:val="3"/>
    </w:pPr>
  </w:style>
  <w:style w:type="paragraph" w:styleId="AltH5Ashurst" w:customStyle="1">
    <w:name w:val="AltH5Ashurst"/>
    <w:basedOn w:val="NormalAshurst"/>
    <w:uiPriority w:val="40"/>
    <w:rsid w:val="00B12EF5"/>
    <w:pPr>
      <w:numPr>
        <w:ilvl w:val="4"/>
        <w:numId w:val="31"/>
      </w:numPr>
      <w:outlineLvl w:val="4"/>
    </w:pPr>
  </w:style>
  <w:style w:type="paragraph" w:styleId="AltH6Ashurst" w:customStyle="1">
    <w:name w:val="AltH6Ashurst"/>
    <w:basedOn w:val="NormalAshurst"/>
    <w:uiPriority w:val="40"/>
    <w:rsid w:val="00B12EF5"/>
    <w:pPr>
      <w:numPr>
        <w:ilvl w:val="5"/>
        <w:numId w:val="31"/>
      </w:numPr>
      <w:outlineLvl w:val="5"/>
    </w:pPr>
  </w:style>
  <w:style w:type="paragraph" w:styleId="AltSH1Ashurst" w:customStyle="1">
    <w:name w:val="AltSH1Ashurst"/>
    <w:basedOn w:val="NormalAshurst"/>
    <w:uiPriority w:val="45"/>
    <w:rsid w:val="00B12EF5"/>
    <w:pPr>
      <w:numPr>
        <w:numId w:val="17"/>
      </w:numPr>
      <w:outlineLvl w:val="0"/>
    </w:pPr>
  </w:style>
  <w:style w:type="paragraph" w:styleId="AltSH2Ashurst" w:customStyle="1">
    <w:name w:val="AltSH2Ashurst"/>
    <w:basedOn w:val="NormalAshurst"/>
    <w:uiPriority w:val="45"/>
    <w:rsid w:val="00B12EF5"/>
    <w:pPr>
      <w:numPr>
        <w:ilvl w:val="1"/>
        <w:numId w:val="17"/>
      </w:numPr>
      <w:outlineLvl w:val="1"/>
    </w:pPr>
  </w:style>
  <w:style w:type="paragraph" w:styleId="AltSH3Ashurst" w:customStyle="1">
    <w:name w:val="AltSH3Ashurst"/>
    <w:basedOn w:val="NormalAshurst"/>
    <w:uiPriority w:val="45"/>
    <w:rsid w:val="00B12EF5"/>
    <w:pPr>
      <w:numPr>
        <w:ilvl w:val="2"/>
        <w:numId w:val="17"/>
      </w:numPr>
      <w:outlineLvl w:val="2"/>
    </w:pPr>
  </w:style>
  <w:style w:type="paragraph" w:styleId="AltSH4Ashurst" w:customStyle="1">
    <w:name w:val="AltSH4Ashurst"/>
    <w:basedOn w:val="NormalAshurst"/>
    <w:uiPriority w:val="45"/>
    <w:rsid w:val="00B12EF5"/>
    <w:pPr>
      <w:numPr>
        <w:ilvl w:val="3"/>
        <w:numId w:val="17"/>
      </w:numPr>
      <w:outlineLvl w:val="3"/>
    </w:pPr>
  </w:style>
  <w:style w:type="paragraph" w:styleId="AltSH5Ashurst" w:customStyle="1">
    <w:name w:val="AltSH5Ashurst"/>
    <w:basedOn w:val="NormalAshurst"/>
    <w:uiPriority w:val="45"/>
    <w:rsid w:val="00B12EF5"/>
    <w:pPr>
      <w:numPr>
        <w:ilvl w:val="4"/>
        <w:numId w:val="17"/>
      </w:numPr>
      <w:outlineLvl w:val="4"/>
    </w:pPr>
  </w:style>
  <w:style w:type="paragraph" w:styleId="PartiesAshurst" w:customStyle="1">
    <w:name w:val="PartiesAshurst"/>
    <w:basedOn w:val="NormalAshurst"/>
    <w:uiPriority w:val="26"/>
    <w:rsid w:val="00B12EF5"/>
    <w:pPr>
      <w:numPr>
        <w:numId w:val="18"/>
      </w:numPr>
      <w:outlineLvl w:val="0"/>
    </w:pPr>
  </w:style>
  <w:style w:type="paragraph" w:styleId="RecitalsAshurst" w:customStyle="1">
    <w:name w:val="RecitalsAshurst"/>
    <w:basedOn w:val="NormalAshurst"/>
    <w:uiPriority w:val="26"/>
    <w:rsid w:val="00B12EF5"/>
    <w:pPr>
      <w:numPr>
        <w:numId w:val="19"/>
      </w:numPr>
      <w:outlineLvl w:val="0"/>
    </w:pPr>
  </w:style>
  <w:style w:type="paragraph" w:styleId="DefinitionsAshurst" w:customStyle="1">
    <w:name w:val="DefinitionsAshurst"/>
    <w:basedOn w:val="NormalAshurst"/>
    <w:uiPriority w:val="26"/>
    <w:rsid w:val="00B12EF5"/>
    <w:pPr>
      <w:numPr>
        <w:ilvl w:val="1"/>
        <w:numId w:val="30"/>
      </w:numPr>
      <w:outlineLvl w:val="1"/>
    </w:pPr>
  </w:style>
  <w:style w:type="paragraph" w:styleId="DefSubAshurst" w:customStyle="1">
    <w:name w:val="DefSubAshurst"/>
    <w:basedOn w:val="NormalAshurst"/>
    <w:uiPriority w:val="26"/>
    <w:rsid w:val="00B12EF5"/>
    <w:pPr>
      <w:numPr>
        <w:ilvl w:val="2"/>
        <w:numId w:val="30"/>
      </w:numPr>
      <w:outlineLvl w:val="2"/>
    </w:pPr>
  </w:style>
  <w:style w:type="paragraph" w:styleId="Bullet1Ashurst" w:customStyle="1">
    <w:name w:val="Bullet1Ashurst"/>
    <w:basedOn w:val="NormalAshurst"/>
    <w:uiPriority w:val="15"/>
    <w:rsid w:val="00B12EF5"/>
    <w:pPr>
      <w:numPr>
        <w:numId w:val="20"/>
      </w:numPr>
    </w:pPr>
  </w:style>
  <w:style w:type="paragraph" w:styleId="Bullet2Ashurst" w:customStyle="1">
    <w:name w:val="Bullet2Ashurst"/>
    <w:basedOn w:val="NormalAshurst"/>
    <w:uiPriority w:val="48"/>
    <w:rsid w:val="00B12EF5"/>
    <w:pPr>
      <w:numPr>
        <w:numId w:val="21"/>
      </w:numPr>
    </w:pPr>
  </w:style>
  <w:style w:type="paragraph" w:styleId="Bullet3Ashurst" w:customStyle="1">
    <w:name w:val="Bullet3Ashurst"/>
    <w:basedOn w:val="NormalAshurst"/>
    <w:uiPriority w:val="57"/>
    <w:rsid w:val="00B12EF5"/>
    <w:pPr>
      <w:numPr>
        <w:numId w:val="22"/>
      </w:numPr>
    </w:pPr>
  </w:style>
  <w:style w:type="paragraph" w:styleId="Bullet4Ashurst" w:customStyle="1">
    <w:name w:val="Bullet4Ashurst"/>
    <w:basedOn w:val="NormalAshurst"/>
    <w:uiPriority w:val="57"/>
    <w:rsid w:val="00B12EF5"/>
    <w:pPr>
      <w:numPr>
        <w:numId w:val="23"/>
      </w:numPr>
    </w:pPr>
  </w:style>
  <w:style w:type="paragraph" w:styleId="Bullet5Ashurst" w:customStyle="1">
    <w:name w:val="Bullet5Ashurst"/>
    <w:basedOn w:val="NormalAshurst"/>
    <w:uiPriority w:val="57"/>
    <w:rsid w:val="00B12EF5"/>
    <w:pPr>
      <w:numPr>
        <w:numId w:val="24"/>
      </w:numPr>
    </w:pPr>
  </w:style>
  <w:style w:type="paragraph" w:styleId="Bullet6Ashurst" w:customStyle="1">
    <w:name w:val="Bullet6Ashurst"/>
    <w:basedOn w:val="NormalAshurst"/>
    <w:uiPriority w:val="57"/>
    <w:rsid w:val="00B12EF5"/>
    <w:pPr>
      <w:numPr>
        <w:numId w:val="25"/>
      </w:numPr>
    </w:pPr>
  </w:style>
  <w:style w:type="character" w:styleId="NormalAshurstChar" w:customStyle="1">
    <w:name w:val="NormalAshurst Char"/>
    <w:basedOn w:val="DefaultParagraphFont"/>
    <w:link w:val="NormalAshurst"/>
    <w:rsid w:val="00B12EF5"/>
  </w:style>
  <w:style w:type="paragraph" w:styleId="FootnoteMore" w:customStyle="1">
    <w:name w:val="Footnote More"/>
    <w:basedOn w:val="NormalAshurst"/>
    <w:uiPriority w:val="79"/>
    <w:rsid w:val="00B96EBF"/>
    <w:pPr>
      <w:tabs>
        <w:tab w:val="left" w:pos="782"/>
        <w:tab w:val="left" w:pos="1406"/>
        <w:tab w:val="left" w:pos="2030"/>
      </w:tabs>
      <w:spacing w:after="100" w:line="200" w:lineRule="atLeast"/>
      <w:ind w:left="782"/>
    </w:pPr>
    <w:rPr>
      <w:sz w:val="14"/>
      <w:szCs w:val="20"/>
    </w:rPr>
  </w:style>
  <w:style w:type="paragraph" w:styleId="TableAshurst" w:customStyle="1">
    <w:name w:val="TableAshurst"/>
    <w:basedOn w:val="NormalAshurst"/>
    <w:uiPriority w:val="60"/>
    <w:rsid w:val="00B12EF5"/>
    <w:pPr>
      <w:spacing w:before="110" w:after="110"/>
    </w:pPr>
  </w:style>
  <w:style w:type="paragraph" w:styleId="APPENDIXAshurst" w:customStyle="1">
    <w:name w:val="APPENDIXAshurst"/>
    <w:basedOn w:val="NormalAshurst"/>
    <w:next w:val="AppendixSubAshurst"/>
    <w:uiPriority w:val="79"/>
    <w:rsid w:val="00B12EF5"/>
    <w:pPr>
      <w:keepNext/>
      <w:numPr>
        <w:numId w:val="26"/>
      </w:numPr>
      <w:jc w:val="center"/>
      <w:outlineLvl w:val="0"/>
    </w:pPr>
    <w:rPr>
      <w:b/>
      <w:caps/>
    </w:rPr>
  </w:style>
  <w:style w:type="paragraph" w:styleId="AppendixSubAshurst" w:customStyle="1">
    <w:name w:val="AppendixSubAshurst"/>
    <w:basedOn w:val="NormalAshurst"/>
    <w:next w:val="NormalAshurst"/>
    <w:uiPriority w:val="43"/>
    <w:rsid w:val="00B12EF5"/>
    <w:pPr>
      <w:keepNext/>
      <w:jc w:val="center"/>
      <w:outlineLvl w:val="1"/>
    </w:pPr>
    <w:rPr>
      <w:b/>
    </w:rPr>
  </w:style>
  <w:style w:type="paragraph" w:styleId="B12Ashurst" w:customStyle="1">
    <w:name w:val="B1&amp;2Ashurst"/>
    <w:basedOn w:val="NormalAshurst"/>
    <w:uiPriority w:val="2"/>
    <w:qFormat/>
    <w:rsid w:val="00B12EF5"/>
    <w:pPr>
      <w:tabs>
        <w:tab w:val="left" w:pos="1406"/>
        <w:tab w:val="left" w:pos="2030"/>
        <w:tab w:val="left" w:pos="2654"/>
        <w:tab w:val="left" w:pos="3277"/>
        <w:tab w:val="left" w:pos="3901"/>
      </w:tabs>
      <w:ind w:left="782"/>
    </w:pPr>
  </w:style>
  <w:style w:type="paragraph" w:styleId="BulletAshurst" w:customStyle="1">
    <w:name w:val="BulletAshurst"/>
    <w:basedOn w:val="NormalAshurst"/>
    <w:rsid w:val="00B12EF5"/>
    <w:pPr>
      <w:numPr>
        <w:numId w:val="27"/>
      </w:numPr>
    </w:pPr>
  </w:style>
  <w:style w:type="paragraph" w:styleId="TOCSubHeadingAshurst" w:customStyle="1">
    <w:name w:val="TOCSubHeadingAshurst"/>
    <w:basedOn w:val="CBOLDCAPSAshurst"/>
    <w:next w:val="NormalAshurst"/>
    <w:uiPriority w:val="79"/>
    <w:rsid w:val="00B12EF5"/>
    <w:pPr>
      <w:tabs>
        <w:tab w:val="right" w:pos="9072"/>
      </w:tabs>
      <w:jc w:val="left"/>
      <w:outlineLvl w:val="0"/>
    </w:pPr>
  </w:style>
  <w:style w:type="character" w:styleId="HiddenAshurst" w:customStyle="1">
    <w:name w:val="HiddenAshurst"/>
    <w:uiPriority w:val="37"/>
    <w:rsid w:val="00B12EF5"/>
    <w:rPr>
      <w:rFonts w:asciiTheme="minorHAnsi" w:hAnsiTheme="minorHAnsi" w:eastAsiaTheme="minorEastAsia" w:cstheme="minorBidi"/>
      <w:vanish/>
      <w:color w:val="FF0000"/>
      <w:szCs w:val="24"/>
    </w:rPr>
  </w:style>
  <w:style w:type="paragraph" w:styleId="StandardBoldAshurst" w:customStyle="1">
    <w:name w:val="StandardBoldAshurst"/>
    <w:basedOn w:val="StandardAshurst"/>
    <w:next w:val="NormalAshurst"/>
    <w:uiPriority w:val="60"/>
    <w:rsid w:val="00B12EF5"/>
    <w:rPr>
      <w:b/>
    </w:rPr>
  </w:style>
  <w:style w:type="paragraph" w:styleId="BN36ptBeforeAshurst" w:customStyle="1">
    <w:name w:val="BN36ptBeforeAshurst"/>
    <w:basedOn w:val="NormalAshurst"/>
    <w:uiPriority w:val="61"/>
    <w:rsid w:val="00B12EF5"/>
    <w:pPr>
      <w:spacing w:before="720" w:after="0"/>
    </w:pPr>
  </w:style>
  <w:style w:type="paragraph" w:styleId="BN45ptBeforeAshurst" w:customStyle="1">
    <w:name w:val="BN45ptBeforeAshurst"/>
    <w:basedOn w:val="NormalAshurst"/>
    <w:next w:val="NormalAshurst"/>
    <w:uiPriority w:val="61"/>
    <w:rsid w:val="00B12EF5"/>
    <w:pPr>
      <w:spacing w:before="900" w:after="0"/>
    </w:pPr>
  </w:style>
  <w:style w:type="paragraph" w:styleId="BNDocTypeAshurst" w:customStyle="1">
    <w:name w:val="BNDocTypeAshurst"/>
    <w:basedOn w:val="Normal"/>
    <w:next w:val="StandardAshurst"/>
    <w:uiPriority w:val="61"/>
    <w:rsid w:val="00B12EF5"/>
    <w:pPr>
      <w:spacing w:before="1120" w:after="860"/>
      <w:jc w:val="left"/>
    </w:pPr>
    <w:rPr>
      <w:b/>
      <w:sz w:val="24"/>
      <w:szCs w:val="30"/>
    </w:rPr>
  </w:style>
  <w:style w:type="paragraph" w:styleId="BNHealthWarningAshurst" w:customStyle="1">
    <w:name w:val="BNHealthWarningAshurst"/>
    <w:basedOn w:val="NormalAshurst"/>
    <w:next w:val="StandardAshurst"/>
    <w:uiPriority w:val="61"/>
    <w:rsid w:val="00B12EF5"/>
    <w:pPr>
      <w:spacing w:after="200"/>
    </w:pPr>
    <w:rPr>
      <w:b/>
      <w:sz w:val="16"/>
      <w:szCs w:val="22"/>
    </w:rPr>
  </w:style>
  <w:style w:type="paragraph" w:styleId="BNTable1Ashurst" w:customStyle="1">
    <w:name w:val="BNTable1Ashurst"/>
    <w:basedOn w:val="TableAshurst"/>
    <w:uiPriority w:val="61"/>
    <w:rsid w:val="00B12EF5"/>
    <w:pPr>
      <w:spacing w:before="120" w:after="120"/>
    </w:pPr>
    <w:rPr>
      <w:sz w:val="14"/>
      <w:szCs w:val="20"/>
    </w:rPr>
  </w:style>
  <w:style w:type="paragraph" w:styleId="BNTable2Ashurst" w:customStyle="1">
    <w:name w:val="BNTable2Ashurst"/>
    <w:basedOn w:val="BNTable1Ashurst"/>
    <w:uiPriority w:val="61"/>
    <w:rsid w:val="00B12EF5"/>
    <w:pPr>
      <w:ind w:left="108"/>
      <w:jc w:val="left"/>
    </w:pPr>
  </w:style>
  <w:style w:type="paragraph" w:styleId="BNTitle22Ashurst" w:customStyle="1">
    <w:name w:val="BNTitle22Ashurst"/>
    <w:basedOn w:val="NormalAshurst"/>
    <w:uiPriority w:val="61"/>
    <w:rsid w:val="00B12EF5"/>
    <w:pPr>
      <w:spacing w:after="0"/>
      <w:jc w:val="left"/>
    </w:pPr>
    <w:rPr>
      <w:sz w:val="44"/>
      <w:szCs w:val="50"/>
    </w:rPr>
  </w:style>
  <w:style w:type="paragraph" w:styleId="CSSubTitleAshurst" w:customStyle="1">
    <w:name w:val="CSSubTitleAshurst"/>
    <w:basedOn w:val="NormalAshurst"/>
    <w:next w:val="NormalAshurst"/>
    <w:uiPriority w:val="61"/>
    <w:rsid w:val="00B12EF5"/>
    <w:pPr>
      <w:keepNext/>
      <w:jc w:val="left"/>
    </w:pPr>
    <w:rPr>
      <w:sz w:val="32"/>
      <w:szCs w:val="38"/>
    </w:rPr>
  </w:style>
  <w:style w:type="paragraph" w:styleId="CSTitleAshurst" w:customStyle="1">
    <w:name w:val="CSTitleAshurst"/>
    <w:basedOn w:val="NormalAshurst"/>
    <w:next w:val="NormalAshurst"/>
    <w:uiPriority w:val="61"/>
    <w:rsid w:val="00B12EF5"/>
    <w:pPr>
      <w:spacing w:before="1240" w:after="840"/>
      <w:jc w:val="left"/>
    </w:pPr>
    <w:rPr>
      <w:sz w:val="42"/>
      <w:szCs w:val="48"/>
    </w:rPr>
  </w:style>
  <w:style w:type="paragraph" w:styleId="CSTxtAshurst" w:customStyle="1">
    <w:name w:val="CSTxtAshurst"/>
    <w:basedOn w:val="NormalAshurst"/>
    <w:next w:val="NormalAshurst"/>
    <w:uiPriority w:val="61"/>
    <w:rsid w:val="00B12EF5"/>
    <w:pPr>
      <w:jc w:val="left"/>
    </w:pPr>
    <w:rPr>
      <w:sz w:val="24"/>
      <w:szCs w:val="30"/>
    </w:rPr>
  </w:style>
  <w:style w:type="paragraph" w:styleId="MACompaniesAshurst" w:customStyle="1">
    <w:name w:val="M&amp;ACompaniesAshurst"/>
    <w:basedOn w:val="CSTxtAshurst"/>
    <w:uiPriority w:val="61"/>
    <w:rsid w:val="00B12EF5"/>
    <w:pPr>
      <w:spacing w:before="1320" w:after="0"/>
    </w:pPr>
  </w:style>
  <w:style w:type="paragraph" w:styleId="MATitle22Ashurst" w:customStyle="1">
    <w:name w:val="M&amp;ATitle22Ashurst"/>
    <w:basedOn w:val="BNTitle22Ashurst"/>
    <w:uiPriority w:val="61"/>
    <w:rsid w:val="00B12EF5"/>
    <w:pPr>
      <w:spacing w:before="480" w:after="400"/>
    </w:pPr>
  </w:style>
  <w:style w:type="paragraph" w:styleId="ParticularsTableAshurst" w:customStyle="1">
    <w:name w:val="ParticularsTableAshurst"/>
    <w:basedOn w:val="TableAshurst"/>
    <w:uiPriority w:val="61"/>
    <w:rsid w:val="00B12EF5"/>
    <w:pPr>
      <w:jc w:val="left"/>
    </w:pPr>
  </w:style>
  <w:style w:type="paragraph" w:styleId="SDBoldItalicsAshurst" w:customStyle="1">
    <w:name w:val="SDBoldItalicsAshurst"/>
    <w:basedOn w:val="B12Ashurst"/>
    <w:uiPriority w:val="61"/>
    <w:rsid w:val="00B12EF5"/>
    <w:rPr>
      <w:b/>
      <w:i/>
    </w:rPr>
  </w:style>
  <w:style w:type="paragraph" w:styleId="SDDocTypeAshurst" w:customStyle="1">
    <w:name w:val="SDDocTypeAshurst"/>
    <w:basedOn w:val="BNDocTypeAshurst"/>
    <w:next w:val="StandardAshurst"/>
    <w:uiPriority w:val="61"/>
    <w:rsid w:val="00B12EF5"/>
  </w:style>
  <w:style w:type="paragraph" w:styleId="SDTitle22Ashurst" w:customStyle="1">
    <w:name w:val="SDTitle22Ashurst"/>
    <w:basedOn w:val="BNTitle22Ashurst"/>
    <w:next w:val="StandardAshurst"/>
    <w:uiPriority w:val="61"/>
    <w:rsid w:val="00B12EF5"/>
    <w:rPr>
      <w:b/>
    </w:rPr>
  </w:style>
  <w:style w:type="paragraph" w:styleId="BN20ptBeforeAshurst" w:customStyle="1">
    <w:name w:val="BN20ptBeforeAshurst"/>
    <w:basedOn w:val="NormalAshurst"/>
    <w:next w:val="NormalAshurst"/>
    <w:uiPriority w:val="61"/>
    <w:rsid w:val="00B12EF5"/>
    <w:pPr>
      <w:spacing w:before="400" w:after="0"/>
    </w:pPr>
  </w:style>
  <w:style w:type="paragraph" w:styleId="NormalBoldAshurst" w:customStyle="1">
    <w:name w:val="NormalBoldAshurst"/>
    <w:basedOn w:val="NormalAshurst"/>
    <w:next w:val="NormalAshurst"/>
    <w:uiPriority w:val="79"/>
    <w:rsid w:val="00B12EF5"/>
    <w:rPr>
      <w:b/>
    </w:rPr>
  </w:style>
  <w:style w:type="paragraph" w:styleId="TableNum1Ashurst" w:customStyle="1">
    <w:name w:val="TableNum1Ashurst"/>
    <w:basedOn w:val="TableAshurst"/>
    <w:uiPriority w:val="58"/>
    <w:rsid w:val="00B12EF5"/>
    <w:pPr>
      <w:numPr>
        <w:numId w:val="29"/>
      </w:numPr>
      <w:outlineLvl w:val="0"/>
    </w:pPr>
  </w:style>
  <w:style w:type="paragraph" w:styleId="AltRecitalsAshurst" w:customStyle="1">
    <w:name w:val="AltRecitalsAshurst"/>
    <w:basedOn w:val="RecitalsAshurst"/>
    <w:rsid w:val="00B12EF5"/>
    <w:pPr>
      <w:numPr>
        <w:numId w:val="28"/>
      </w:numPr>
    </w:pPr>
  </w:style>
  <w:style w:type="paragraph" w:styleId="LBItalicsAshurst" w:customStyle="1">
    <w:name w:val="LBItalicsAshurst"/>
    <w:basedOn w:val="NormalAshurst"/>
    <w:next w:val="NormalAshurst"/>
    <w:uiPriority w:val="60"/>
    <w:rsid w:val="00B12EF5"/>
    <w:pPr>
      <w:keepNext/>
    </w:pPr>
    <w:rPr>
      <w:b/>
      <w:i/>
    </w:rPr>
  </w:style>
  <w:style w:type="paragraph" w:styleId="TableNum2Ashurst" w:customStyle="1">
    <w:name w:val="TableNum2Ashurst"/>
    <w:basedOn w:val="TableAshurst"/>
    <w:uiPriority w:val="58"/>
    <w:rsid w:val="00B12EF5"/>
    <w:pPr>
      <w:numPr>
        <w:ilvl w:val="1"/>
        <w:numId w:val="29"/>
      </w:numPr>
      <w:outlineLvl w:val="1"/>
    </w:pPr>
  </w:style>
  <w:style w:type="paragraph" w:styleId="TableNum3Ashurst" w:customStyle="1">
    <w:name w:val="TableNum3Ashurst"/>
    <w:basedOn w:val="TableAshurst"/>
    <w:uiPriority w:val="58"/>
    <w:rsid w:val="00B12EF5"/>
    <w:pPr>
      <w:numPr>
        <w:ilvl w:val="2"/>
        <w:numId w:val="29"/>
      </w:numPr>
    </w:pPr>
  </w:style>
  <w:style w:type="paragraph" w:styleId="TableNum4Ashurst" w:customStyle="1">
    <w:name w:val="TableNum4Ashurst"/>
    <w:basedOn w:val="TableAshurst"/>
    <w:uiPriority w:val="58"/>
    <w:rsid w:val="00B12EF5"/>
    <w:pPr>
      <w:numPr>
        <w:ilvl w:val="3"/>
        <w:numId w:val="29"/>
      </w:numPr>
    </w:pPr>
  </w:style>
  <w:style w:type="paragraph" w:styleId="TableNum5Ashurst" w:customStyle="1">
    <w:name w:val="TableNum5Ashurst"/>
    <w:basedOn w:val="TableAshurst"/>
    <w:uiPriority w:val="58"/>
    <w:rsid w:val="00B12EF5"/>
    <w:pPr>
      <w:numPr>
        <w:ilvl w:val="4"/>
        <w:numId w:val="29"/>
      </w:numPr>
    </w:pPr>
  </w:style>
  <w:style w:type="paragraph" w:styleId="TableNum6Ashurst" w:customStyle="1">
    <w:name w:val="TableNum6Ashurst"/>
    <w:basedOn w:val="TableAshurst"/>
    <w:uiPriority w:val="58"/>
    <w:rsid w:val="00B12EF5"/>
    <w:pPr>
      <w:numPr>
        <w:ilvl w:val="5"/>
        <w:numId w:val="29"/>
      </w:numPr>
    </w:pPr>
  </w:style>
  <w:style w:type="paragraph" w:styleId="DefinitionsClauseAshurst" w:customStyle="1">
    <w:name w:val="DefinitionsClauseAshurst"/>
    <w:basedOn w:val="NormalAshurst"/>
    <w:uiPriority w:val="26"/>
    <w:rsid w:val="00B12EF5"/>
    <w:pPr>
      <w:numPr>
        <w:numId w:val="30"/>
      </w:numPr>
      <w:outlineLvl w:val="0"/>
    </w:pPr>
    <w:rPr>
      <w:lang w:eastAsia="en-GB"/>
    </w:rPr>
  </w:style>
  <w:style w:type="paragraph" w:styleId="AltH7Ashurst" w:customStyle="1">
    <w:name w:val="AltH7Ashurst"/>
    <w:basedOn w:val="NormalAshurst"/>
    <w:uiPriority w:val="40"/>
    <w:rsid w:val="00B12EF5"/>
    <w:pPr>
      <w:numPr>
        <w:ilvl w:val="6"/>
        <w:numId w:val="31"/>
      </w:numPr>
      <w:outlineLvl w:val="6"/>
    </w:pPr>
  </w:style>
  <w:style w:type="paragraph" w:styleId="AltH8Ashurst" w:customStyle="1">
    <w:name w:val="AltH8Ashurst"/>
    <w:basedOn w:val="NormalAshurst"/>
    <w:uiPriority w:val="40"/>
    <w:rsid w:val="00B12EF5"/>
    <w:pPr>
      <w:numPr>
        <w:ilvl w:val="7"/>
        <w:numId w:val="31"/>
      </w:numPr>
      <w:outlineLvl w:val="7"/>
    </w:pPr>
  </w:style>
  <w:style w:type="paragraph" w:styleId="H7Ashurst" w:customStyle="1">
    <w:name w:val="H7Ashurst"/>
    <w:basedOn w:val="NormalAshurst"/>
    <w:uiPriority w:val="38"/>
    <w:rsid w:val="00B12EF5"/>
    <w:pPr>
      <w:numPr>
        <w:ilvl w:val="6"/>
        <w:numId w:val="32"/>
      </w:numPr>
      <w:outlineLvl w:val="6"/>
    </w:pPr>
  </w:style>
  <w:style w:type="paragraph" w:styleId="H8Ashurst" w:customStyle="1">
    <w:name w:val="H8Ashurst"/>
    <w:basedOn w:val="NormalAshurst"/>
    <w:uiPriority w:val="38"/>
    <w:rsid w:val="00B12EF5"/>
    <w:pPr>
      <w:numPr>
        <w:ilvl w:val="7"/>
        <w:numId w:val="32"/>
      </w:numPr>
      <w:outlineLvl w:val="7"/>
    </w:pPr>
  </w:style>
  <w:style w:type="paragraph" w:styleId="B7Ashurst" w:customStyle="1">
    <w:name w:val="B7Ashurst"/>
    <w:basedOn w:val="NormalAshurst"/>
    <w:uiPriority w:val="56"/>
    <w:rsid w:val="00B12EF5"/>
    <w:pPr>
      <w:tabs>
        <w:tab w:val="left" w:pos="4525"/>
      </w:tabs>
      <w:ind w:left="3901"/>
    </w:pPr>
  </w:style>
  <w:style w:type="paragraph" w:styleId="B8Ashurst" w:customStyle="1">
    <w:name w:val="B8Ashurst"/>
    <w:basedOn w:val="NormalAshurst"/>
    <w:uiPriority w:val="56"/>
    <w:rsid w:val="00B12EF5"/>
    <w:pPr>
      <w:tabs>
        <w:tab w:val="left" w:pos="5148"/>
      </w:tabs>
      <w:ind w:left="4525"/>
    </w:pPr>
  </w:style>
  <w:style w:type="paragraph" w:styleId="BodyText">
    <w:name w:val="Body Text"/>
    <w:basedOn w:val="Normal"/>
    <w:link w:val="BodyTextChar"/>
    <w:uiPriority w:val="98"/>
    <w:semiHidden/>
    <w:rsid w:val="00B12EF5"/>
    <w:pPr>
      <w:spacing w:after="120"/>
    </w:pPr>
  </w:style>
  <w:style w:type="character" w:styleId="BodyTextChar" w:customStyle="1">
    <w:name w:val="Body Text Char"/>
    <w:basedOn w:val="DefaultParagraphFont"/>
    <w:link w:val="BodyText"/>
    <w:uiPriority w:val="98"/>
    <w:semiHidden/>
    <w:rsid w:val="00B12EF5"/>
    <w:rPr>
      <w:rFonts w:asciiTheme="minorHAnsi" w:hAnsiTheme="minorHAnsi" w:eastAsiaTheme="minorEastAsia" w:cstheme="minorBidi"/>
      <w:szCs w:val="24"/>
    </w:rPr>
  </w:style>
  <w:style w:type="character" w:styleId="FootnoteReference">
    <w:name w:val="footnote reference"/>
    <w:basedOn w:val="DefaultParagraphFont"/>
    <w:uiPriority w:val="98"/>
    <w:rsid w:val="00B12EF5"/>
    <w:rPr>
      <w:rFonts w:asciiTheme="minorHAnsi" w:hAnsiTheme="minorHAnsi" w:eastAsiaTheme="minorEastAsia" w:cstheme="minorBidi"/>
      <w:sz w:val="14"/>
      <w:szCs w:val="20"/>
      <w:vertAlign w:val="superscript"/>
    </w:rPr>
  </w:style>
  <w:style w:type="paragraph" w:styleId="FootnoteText">
    <w:name w:val="footnote text"/>
    <w:basedOn w:val="NormalAshurst"/>
    <w:next w:val="FootnoteMore"/>
    <w:link w:val="FootnoteTextChar"/>
    <w:uiPriority w:val="99"/>
    <w:rsid w:val="00B96EBF"/>
    <w:pPr>
      <w:tabs>
        <w:tab w:val="left" w:pos="782"/>
        <w:tab w:val="left" w:pos="1406"/>
        <w:tab w:val="left" w:pos="2030"/>
      </w:tabs>
      <w:spacing w:after="100" w:line="200" w:lineRule="atLeast"/>
      <w:ind w:left="782" w:hanging="782"/>
    </w:pPr>
    <w:rPr>
      <w:sz w:val="14"/>
      <w:szCs w:val="20"/>
      <w:lang w:eastAsia="zh-CN"/>
    </w:rPr>
  </w:style>
  <w:style w:type="character" w:styleId="FootnoteTextChar" w:customStyle="1">
    <w:name w:val="Footnote Text Char"/>
    <w:basedOn w:val="DefaultParagraphFont"/>
    <w:link w:val="FootnoteText"/>
    <w:uiPriority w:val="99"/>
    <w:rsid w:val="00B96EBF"/>
    <w:rPr>
      <w:rFonts w:asciiTheme="minorHAnsi" w:hAnsiTheme="minorHAnsi" w:eastAsiaTheme="minorEastAsia" w:cstheme="minorBidi"/>
      <w:sz w:val="14"/>
      <w:szCs w:val="20"/>
      <w:lang w:eastAsia="zh-CN"/>
    </w:rPr>
  </w:style>
  <w:style w:type="numbering" w:styleId="111111">
    <w:name w:val="Outline List 2"/>
    <w:basedOn w:val="NoList"/>
    <w:uiPriority w:val="98"/>
    <w:semiHidden/>
    <w:rsid w:val="00B12EF5"/>
    <w:pPr>
      <w:numPr>
        <w:numId w:val="13"/>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4"/>
      </w:numPr>
    </w:pPr>
  </w:style>
  <w:style w:type="paragraph" w:styleId="BalloonText">
    <w:name w:val="Balloon Text"/>
    <w:basedOn w:val="Normal"/>
    <w:link w:val="BalloonTextChar"/>
    <w:uiPriority w:val="98"/>
    <w:semiHidden/>
    <w:rsid w:val="00B12EF5"/>
    <w:pPr>
      <w:spacing w:line="240" w:lineRule="auto"/>
    </w:pPr>
    <w:rPr>
      <w:sz w:val="16"/>
      <w:szCs w:val="22"/>
    </w:rPr>
  </w:style>
  <w:style w:type="character" w:styleId="BalloonTextChar" w:customStyle="1">
    <w:name w:val="Balloon Text Char"/>
    <w:basedOn w:val="DefaultParagraphFont"/>
    <w:link w:val="BalloonText"/>
    <w:uiPriority w:val="98"/>
    <w:semiHidden/>
    <w:rsid w:val="00B12EF5"/>
    <w:rPr>
      <w:rFonts w:asciiTheme="minorHAnsi" w:hAnsiTheme="minorHAnsi" w:eastAsiaTheme="minorEastAsia" w:cstheme="minorBidi"/>
      <w:sz w:val="16"/>
      <w:szCs w:val="22"/>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color="DDDDDD" w:themeColor="accent1" w:sz="2" w:space="10" w:frame="1"/>
        <w:left w:val="single" w:color="DDDDDD" w:themeColor="accent1" w:sz="2" w:space="10" w:frame="1"/>
        <w:bottom w:val="single" w:color="DDDDDD" w:themeColor="accent1" w:sz="2" w:space="10" w:frame="1"/>
        <w:right w:val="single" w:color="DDDDDD" w:themeColor="accent1" w:sz="2" w:space="10" w:frame="1"/>
      </w:pBdr>
      <w:ind w:left="1152" w:right="1152"/>
    </w:pPr>
    <w:rPr>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styleId="BodyText2Char" w:customStyle="1">
    <w:name w:val="Body Text 2 Char"/>
    <w:basedOn w:val="DefaultParagraphFont"/>
    <w:link w:val="BodyText2"/>
    <w:uiPriority w:val="98"/>
    <w:semiHidden/>
    <w:rsid w:val="00B12EF5"/>
    <w:rPr>
      <w:rFonts w:asciiTheme="minorHAnsi" w:hAnsiTheme="minorHAnsi" w:eastAsiaTheme="minorEastAsia" w:cstheme="minorBidi"/>
      <w:szCs w:val="24"/>
    </w:rPr>
  </w:style>
  <w:style w:type="paragraph" w:styleId="BodyText3">
    <w:name w:val="Body Text 3"/>
    <w:basedOn w:val="Normal"/>
    <w:link w:val="BodyText3Char"/>
    <w:uiPriority w:val="98"/>
    <w:semiHidden/>
    <w:rsid w:val="00B12EF5"/>
    <w:pPr>
      <w:spacing w:after="120"/>
    </w:pPr>
    <w:rPr>
      <w:sz w:val="16"/>
      <w:szCs w:val="22"/>
    </w:rPr>
  </w:style>
  <w:style w:type="character" w:styleId="BodyText3Char" w:customStyle="1">
    <w:name w:val="Body Text 3 Char"/>
    <w:basedOn w:val="DefaultParagraphFont"/>
    <w:link w:val="BodyText3"/>
    <w:uiPriority w:val="98"/>
    <w:semiHidden/>
    <w:rsid w:val="00B12EF5"/>
    <w:rPr>
      <w:rFonts w:asciiTheme="minorHAnsi" w:hAnsiTheme="minorHAnsi" w:eastAsiaTheme="minorEastAsia" w:cstheme="minorBidi"/>
      <w:sz w:val="16"/>
      <w:szCs w:val="22"/>
    </w:rPr>
  </w:style>
  <w:style w:type="paragraph" w:styleId="BodyTextFirstIndent">
    <w:name w:val="Body Text First Indent"/>
    <w:basedOn w:val="BodyText"/>
    <w:link w:val="BodyTextFirstIndentChar"/>
    <w:uiPriority w:val="98"/>
    <w:semiHidden/>
    <w:rsid w:val="00B12EF5"/>
    <w:pPr>
      <w:spacing w:after="0"/>
      <w:ind w:firstLine="360"/>
    </w:pPr>
  </w:style>
  <w:style w:type="character" w:styleId="BodyTextFirstIndentChar" w:customStyle="1">
    <w:name w:val="Body Text First Indent Char"/>
    <w:basedOn w:val="BodyTextChar"/>
    <w:link w:val="BodyTextFirstIndent"/>
    <w:uiPriority w:val="98"/>
    <w:semiHidden/>
    <w:rsid w:val="00B12EF5"/>
    <w:rPr>
      <w:rFonts w:asciiTheme="minorHAnsi" w:hAnsiTheme="minorHAnsi" w:eastAsiaTheme="minorEastAsia" w:cstheme="minorBidi"/>
      <w:szCs w:val="24"/>
    </w:rPr>
  </w:style>
  <w:style w:type="paragraph" w:styleId="BodyTextIndent">
    <w:name w:val="Body Text Indent"/>
    <w:basedOn w:val="Normal"/>
    <w:link w:val="BodyTextIndentChar"/>
    <w:uiPriority w:val="98"/>
    <w:semiHidden/>
    <w:rsid w:val="00B12EF5"/>
    <w:pPr>
      <w:spacing w:after="120"/>
      <w:ind w:left="283"/>
    </w:pPr>
  </w:style>
  <w:style w:type="character" w:styleId="BodyTextIndentChar" w:customStyle="1">
    <w:name w:val="Body Text Indent Char"/>
    <w:basedOn w:val="DefaultParagraphFont"/>
    <w:link w:val="BodyTextIndent"/>
    <w:uiPriority w:val="98"/>
    <w:semiHidden/>
    <w:rsid w:val="00B12EF5"/>
    <w:rPr>
      <w:rFonts w:asciiTheme="minorHAnsi" w:hAnsiTheme="minorHAnsi" w:eastAsiaTheme="minorEastAsia" w:cstheme="minorBidi"/>
      <w:szCs w:val="24"/>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styleId="BodyTextFirstIndent2Char" w:customStyle="1">
    <w:name w:val="Body Text First Indent 2 Char"/>
    <w:basedOn w:val="BodyTextIndentChar"/>
    <w:link w:val="BodyTextFirstIndent2"/>
    <w:uiPriority w:val="98"/>
    <w:semiHidden/>
    <w:rsid w:val="00B12EF5"/>
    <w:rPr>
      <w:rFonts w:asciiTheme="minorHAnsi" w:hAnsiTheme="minorHAnsi" w:eastAsiaTheme="minorEastAsia" w:cstheme="minorBidi"/>
      <w:szCs w:val="24"/>
    </w:rPr>
  </w:style>
  <w:style w:type="paragraph" w:styleId="BodyTextIndent2">
    <w:name w:val="Body Text Indent 2"/>
    <w:basedOn w:val="Normal"/>
    <w:link w:val="BodyTextIndent2Char"/>
    <w:uiPriority w:val="98"/>
    <w:semiHidden/>
    <w:rsid w:val="00B12EF5"/>
    <w:pPr>
      <w:spacing w:after="120" w:line="480" w:lineRule="auto"/>
      <w:ind w:left="283"/>
    </w:pPr>
  </w:style>
  <w:style w:type="character" w:styleId="BodyTextIndent2Char" w:customStyle="1">
    <w:name w:val="Body Text Indent 2 Char"/>
    <w:basedOn w:val="DefaultParagraphFont"/>
    <w:link w:val="BodyTextIndent2"/>
    <w:uiPriority w:val="98"/>
    <w:semiHidden/>
    <w:rsid w:val="00B12EF5"/>
    <w:rPr>
      <w:rFonts w:asciiTheme="minorHAnsi" w:hAnsiTheme="minorHAnsi" w:eastAsiaTheme="minorEastAsia" w:cstheme="minorBidi"/>
      <w:szCs w:val="24"/>
    </w:rPr>
  </w:style>
  <w:style w:type="paragraph" w:styleId="BodyTextIndent3">
    <w:name w:val="Body Text Indent 3"/>
    <w:basedOn w:val="Normal"/>
    <w:link w:val="BodyTextIndent3Char"/>
    <w:uiPriority w:val="98"/>
    <w:semiHidden/>
    <w:rsid w:val="00B12EF5"/>
    <w:pPr>
      <w:spacing w:after="120"/>
      <w:ind w:left="283"/>
    </w:pPr>
    <w:rPr>
      <w:sz w:val="16"/>
      <w:szCs w:val="22"/>
    </w:rPr>
  </w:style>
  <w:style w:type="character" w:styleId="BodyTextIndent3Char" w:customStyle="1">
    <w:name w:val="Body Text Indent 3 Char"/>
    <w:basedOn w:val="DefaultParagraphFont"/>
    <w:link w:val="BodyTextIndent3"/>
    <w:uiPriority w:val="98"/>
    <w:semiHidden/>
    <w:rsid w:val="00B12EF5"/>
    <w:rPr>
      <w:rFonts w:asciiTheme="minorHAnsi" w:hAnsiTheme="minorHAnsi" w:eastAsiaTheme="minorEastAsia" w:cstheme="minorBidi"/>
      <w:sz w:val="16"/>
      <w:szCs w:val="22"/>
    </w:rPr>
  </w:style>
  <w:style w:type="character" w:styleId="BookTitle">
    <w:name w:val="Book Title"/>
    <w:basedOn w:val="DefaultParagraphFont"/>
    <w:uiPriority w:val="98"/>
    <w:semiHidden/>
    <w:rsid w:val="00B12EF5"/>
    <w:rPr>
      <w:rFonts w:asciiTheme="minorHAnsi" w:hAnsiTheme="minorHAnsi" w:eastAsiaTheme="minorEastAsia" w:cstheme="minorBidi"/>
      <w:b/>
      <w:bCs/>
      <w:smallCaps/>
      <w:spacing w:val="5"/>
      <w:szCs w:val="24"/>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styleId="ClosingChar" w:customStyle="1">
    <w:name w:val="Closing Char"/>
    <w:basedOn w:val="DefaultParagraphFont"/>
    <w:link w:val="Closing"/>
    <w:uiPriority w:val="98"/>
    <w:semiHidden/>
    <w:rsid w:val="00B12EF5"/>
    <w:rPr>
      <w:rFonts w:asciiTheme="minorHAnsi" w:hAnsiTheme="minorHAnsi" w:eastAsiaTheme="minorEastAsia" w:cstheme="minorBidi"/>
      <w:szCs w:val="24"/>
    </w:rPr>
  </w:style>
  <w:style w:type="table" w:styleId="ColorfulGrid">
    <w:name w:val="Colorful Grid"/>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semiHidden/>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98"/>
    <w:semiHidden/>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semiHidden/>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color="FFFFFF" w:themeColor="background1" w:sz="12" w:space="0"/>
        </w:tcBorders>
        <w:shd w:val="clear" w:color="auto" w:fill="666666" w:themeFill="accent4" w:themeFillShade="CC"/>
      </w:tcPr>
    </w:tblStylePr>
    <w:tblStylePr w:type="lastRow">
      <w:rPr>
        <w:b/>
        <w:bCs/>
        <w:color w:val="666666"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semiHidden/>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color="FFFFFF" w:themeColor="background1" w:sz="12" w:space="0"/>
        </w:tcBorders>
        <w:shd w:val="clear" w:color="auto" w:fill="787878" w:themeFill="accent3" w:themeFillShade="CC"/>
      </w:tcPr>
    </w:tblStylePr>
    <w:tblStylePr w:type="lastRow">
      <w:rPr>
        <w:b/>
        <w:bCs/>
        <w:color w:val="787878"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semiHidden/>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color="FFFFFF" w:themeColor="background1" w:sz="12" w:space="0"/>
        </w:tcBorders>
        <w:shd w:val="clear" w:color="auto" w:fill="3D3D3D" w:themeFill="accent6" w:themeFillShade="CC"/>
      </w:tcPr>
    </w:tblStylePr>
    <w:tblStylePr w:type="lastRow">
      <w:rPr>
        <w:b/>
        <w:bCs/>
        <w:color w:val="3D3D3D"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semiHidden/>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color="FFFFFF" w:themeColor="background1" w:sz="12" w:space="0"/>
        </w:tcBorders>
        <w:shd w:val="clear" w:color="auto" w:fill="4C4C4C" w:themeFill="accent5" w:themeFillShade="CC"/>
      </w:tcPr>
    </w:tblStylePr>
    <w:tblStylePr w:type="lastRow">
      <w:rPr>
        <w:b/>
        <w:bCs/>
        <w:color w:val="4C4C4C"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semiHidden/>
    <w:rsid w:val="00B12EF5"/>
    <w:rPr>
      <w:color w:val="000000" w:themeColor="text1"/>
    </w:rPr>
    <w:tblPr>
      <w:tblStyleRowBandSize w:val="1"/>
      <w:tblStyleColBandSize w:val="1"/>
      <w:tblBorders>
        <w:top w:val="single" w:color="B2B2B2"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rPr>
      <w:color w:val="000000" w:themeColor="text1"/>
    </w:rPr>
    <w:tblPr>
      <w:tblStyleRowBandSize w:val="1"/>
      <w:tblStyleColBandSize w:val="1"/>
      <w:tblBorders>
        <w:top w:val="single" w:color="B2B2B2" w:themeColor="accent2" w:sz="24" w:space="0"/>
        <w:left w:val="single" w:color="DDDDDD" w:themeColor="accent1" w:sz="4" w:space="0"/>
        <w:bottom w:val="single" w:color="DDDDDD" w:themeColor="accent1" w:sz="4" w:space="0"/>
        <w:right w:val="single" w:color="DDDDDD" w:themeColor="accent1" w:sz="4" w:space="0"/>
        <w:insideH w:val="single" w:color="FFFFFF" w:themeColor="background1" w:sz="4" w:space="0"/>
        <w:insideV w:val="single" w:color="FFFFFF" w:themeColor="background1" w:sz="4" w:space="0"/>
      </w:tblBorders>
    </w:tblPr>
    <w:tcPr>
      <w:shd w:val="clear" w:color="auto" w:fill="FBFBFB" w:themeFill="accent1"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color="848484" w:themeColor="accent1" w:themeShade="99" w:sz="4" w:space="0"/>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rPr>
      <w:color w:val="000000" w:themeColor="text1"/>
    </w:rPr>
    <w:tblPr>
      <w:tblStyleRowBandSize w:val="1"/>
      <w:tblStyleColBandSize w:val="1"/>
      <w:tblBorders>
        <w:top w:val="single" w:color="B2B2B2" w:themeColor="accent2" w:sz="24" w:space="0"/>
        <w:left w:val="single" w:color="B2B2B2" w:themeColor="accent2" w:sz="4" w:space="0"/>
        <w:bottom w:val="single" w:color="B2B2B2" w:themeColor="accent2" w:sz="4" w:space="0"/>
        <w:right w:val="single" w:color="B2B2B2" w:themeColor="accent2" w:sz="4" w:space="0"/>
        <w:insideH w:val="single" w:color="FFFFFF" w:themeColor="background1" w:sz="4" w:space="0"/>
        <w:insideV w:val="single" w:color="FFFFFF" w:themeColor="background1" w:sz="4" w:space="0"/>
      </w:tblBorders>
    </w:tblPr>
    <w:tcPr>
      <w:shd w:val="clear" w:color="auto" w:fill="F7F7F7" w:themeFill="accent2"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color="6A6A6A" w:themeColor="accent2" w:themeShade="99" w:sz="4" w:space="0"/>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rPr>
      <w:color w:val="000000" w:themeColor="text1"/>
    </w:rPr>
    <w:tblPr>
      <w:tblStyleRowBandSize w:val="1"/>
      <w:tblStyleColBandSize w:val="1"/>
      <w:tblBorders>
        <w:top w:val="single" w:color="808080" w:themeColor="accent4" w:sz="24" w:space="0"/>
        <w:left w:val="single" w:color="969696" w:themeColor="accent3" w:sz="4" w:space="0"/>
        <w:bottom w:val="single" w:color="969696" w:themeColor="accent3" w:sz="4" w:space="0"/>
        <w:right w:val="single" w:color="969696" w:themeColor="accent3" w:sz="4" w:space="0"/>
        <w:insideH w:val="single" w:color="FFFFFF" w:themeColor="background1" w:sz="4" w:space="0"/>
        <w:insideV w:val="single" w:color="FFFFFF" w:themeColor="background1" w:sz="4" w:space="0"/>
      </w:tblBorders>
    </w:tblPr>
    <w:tcPr>
      <w:shd w:val="clear" w:color="auto" w:fill="F4F4F4" w:themeFill="accent3" w:themeFillTint="19"/>
    </w:tcPr>
    <w:tblStylePr w:type="firstRow">
      <w:rPr>
        <w:b/>
        <w:bCs/>
      </w:rPr>
      <w:tblPr/>
      <w:tcPr>
        <w:tcBorders>
          <w:top w:val="nil"/>
          <w:left w:val="nil"/>
          <w:bottom w:val="single" w:color="808080"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color="5A5A5A" w:themeColor="accent3" w:themeShade="99" w:sz="4" w:space="0"/>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semiHidden/>
    <w:rsid w:val="00B12EF5"/>
    <w:rPr>
      <w:color w:val="000000" w:themeColor="text1"/>
    </w:rPr>
    <w:tblPr>
      <w:tblStyleRowBandSize w:val="1"/>
      <w:tblStyleColBandSize w:val="1"/>
      <w:tblBorders>
        <w:top w:val="single" w:color="969696" w:themeColor="accent3" w:sz="24" w:space="0"/>
        <w:left w:val="single" w:color="808080" w:themeColor="accent4" w:sz="4" w:space="0"/>
        <w:bottom w:val="single" w:color="808080" w:themeColor="accent4" w:sz="4" w:space="0"/>
        <w:right w:val="single" w:color="808080" w:themeColor="accent4" w:sz="4" w:space="0"/>
        <w:insideH w:val="single" w:color="FFFFFF" w:themeColor="background1" w:sz="4" w:space="0"/>
        <w:insideV w:val="single" w:color="FFFFFF" w:themeColor="background1" w:sz="4" w:space="0"/>
      </w:tblBorders>
    </w:tblPr>
    <w:tcPr>
      <w:shd w:val="clear" w:color="auto" w:fill="F2F2F2" w:themeFill="accent4" w:themeFillTint="19"/>
    </w:tcPr>
    <w:tblStylePr w:type="firstRow">
      <w:rPr>
        <w:b/>
        <w:bCs/>
      </w:rPr>
      <w:tblPr/>
      <w:tcPr>
        <w:tcBorders>
          <w:top w:val="nil"/>
          <w:left w:val="nil"/>
          <w:bottom w:val="single" w:color="969696"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color="4C4C4C" w:themeColor="accent4" w:themeShade="99" w:sz="4" w:space="0"/>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rPr>
      <w:color w:val="000000" w:themeColor="text1"/>
    </w:rPr>
    <w:tblPr>
      <w:tblStyleRowBandSize w:val="1"/>
      <w:tblStyleColBandSize w:val="1"/>
      <w:tblBorders>
        <w:top w:val="single" w:color="4D4D4D" w:themeColor="accent6" w:sz="24" w:space="0"/>
        <w:left w:val="single" w:color="5F5F5F" w:themeColor="accent5" w:sz="4" w:space="0"/>
        <w:bottom w:val="single" w:color="5F5F5F" w:themeColor="accent5" w:sz="4" w:space="0"/>
        <w:right w:val="single" w:color="5F5F5F" w:themeColor="accent5" w:sz="4" w:space="0"/>
        <w:insideH w:val="single" w:color="FFFFFF" w:themeColor="background1" w:sz="4" w:space="0"/>
        <w:insideV w:val="single" w:color="FFFFFF" w:themeColor="background1" w:sz="4" w:space="0"/>
      </w:tblBorders>
    </w:tblPr>
    <w:tcPr>
      <w:shd w:val="clear" w:color="auto" w:fill="EFEFEF" w:themeFill="accent5" w:themeFillTint="19"/>
    </w:tcPr>
    <w:tblStylePr w:type="firstRow">
      <w:rPr>
        <w:b/>
        <w:bCs/>
      </w:rPr>
      <w:tblPr/>
      <w:tcPr>
        <w:tcBorders>
          <w:top w:val="nil"/>
          <w:left w:val="nil"/>
          <w:bottom w:val="single" w:color="4D4D4D"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color="393939" w:themeColor="accent5" w:themeShade="99" w:sz="4" w:space="0"/>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rPr>
      <w:color w:val="000000" w:themeColor="text1"/>
    </w:rPr>
    <w:tblPr>
      <w:tblStyleRowBandSize w:val="1"/>
      <w:tblStyleColBandSize w:val="1"/>
      <w:tblBorders>
        <w:top w:val="single" w:color="5F5F5F" w:themeColor="accent5" w:sz="24" w:space="0"/>
        <w:left w:val="single" w:color="4D4D4D" w:themeColor="accent6" w:sz="4" w:space="0"/>
        <w:bottom w:val="single" w:color="4D4D4D" w:themeColor="accent6" w:sz="4" w:space="0"/>
        <w:right w:val="single" w:color="4D4D4D" w:themeColor="accent6" w:sz="4" w:space="0"/>
        <w:insideH w:val="single" w:color="FFFFFF" w:themeColor="background1" w:sz="4" w:space="0"/>
        <w:insideV w:val="single" w:color="FFFFFF" w:themeColor="background1" w:sz="4" w:space="0"/>
      </w:tblBorders>
    </w:tblPr>
    <w:tcPr>
      <w:shd w:val="clear" w:color="auto" w:fill="EDEDED" w:themeFill="accent6" w:themeFillTint="19"/>
    </w:tcPr>
    <w:tblStylePr w:type="firstRow">
      <w:rPr>
        <w:b/>
        <w:bCs/>
      </w:rPr>
      <w:tblPr/>
      <w:tcPr>
        <w:tcBorders>
          <w:top w:val="nil"/>
          <w:left w:val="nil"/>
          <w:bottom w:val="single" w:color="5F5F5F"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color="2E2E2E" w:themeColor="accent6" w:themeShade="99" w:sz="4" w:space="0"/>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hAnsiTheme="minorHAnsi" w:eastAsiaTheme="minorEastAsia" w:cstheme="minorBidi"/>
      <w:sz w:val="16"/>
      <w:szCs w:val="22"/>
    </w:rPr>
  </w:style>
  <w:style w:type="paragraph" w:styleId="CommentText">
    <w:name w:val="annotation text"/>
    <w:basedOn w:val="Normal"/>
    <w:link w:val="CommentTextChar"/>
    <w:uiPriority w:val="98"/>
    <w:semiHidden/>
    <w:rsid w:val="00B12EF5"/>
    <w:pPr>
      <w:spacing w:line="240" w:lineRule="auto"/>
    </w:pPr>
    <w:rPr>
      <w:sz w:val="20"/>
      <w:szCs w:val="26"/>
    </w:rPr>
  </w:style>
  <w:style w:type="character" w:styleId="CommentTextChar" w:customStyle="1">
    <w:name w:val="Comment Text Char"/>
    <w:basedOn w:val="DefaultParagraphFont"/>
    <w:link w:val="CommentText"/>
    <w:uiPriority w:val="98"/>
    <w:semiHidden/>
    <w:rsid w:val="00B12EF5"/>
    <w:rPr>
      <w:rFonts w:asciiTheme="minorHAnsi" w:hAnsiTheme="minorHAnsi" w:eastAsiaTheme="minorEastAsia" w:cstheme="minorBidi"/>
      <w:sz w:val="20"/>
      <w:szCs w:val="26"/>
    </w:rPr>
  </w:style>
  <w:style w:type="paragraph" w:styleId="CommentSubject">
    <w:name w:val="annotation subject"/>
    <w:basedOn w:val="CommentText"/>
    <w:next w:val="CommentText"/>
    <w:link w:val="CommentSubjectChar"/>
    <w:uiPriority w:val="98"/>
    <w:semiHidden/>
    <w:rsid w:val="00B12EF5"/>
    <w:rPr>
      <w:b/>
      <w:bCs/>
    </w:rPr>
  </w:style>
  <w:style w:type="character" w:styleId="CommentSubjectChar" w:customStyle="1">
    <w:name w:val="Comment Subject Char"/>
    <w:basedOn w:val="CommentTextChar"/>
    <w:link w:val="CommentSubject"/>
    <w:uiPriority w:val="98"/>
    <w:semiHidden/>
    <w:rsid w:val="00B12EF5"/>
    <w:rPr>
      <w:rFonts w:asciiTheme="minorHAnsi" w:hAnsiTheme="minorHAnsi" w:eastAsiaTheme="minorEastAsia" w:cstheme="minorBidi"/>
      <w:b/>
      <w:bCs/>
      <w:sz w:val="20"/>
      <w:szCs w:val="26"/>
    </w:rPr>
  </w:style>
  <w:style w:type="table" w:styleId="DarkList">
    <w:name w:val="Dark List"/>
    <w:basedOn w:val="TableNormal"/>
    <w:uiPriority w:val="98"/>
    <w:semiHidden/>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A5A5A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semiHidden/>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858585"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semiHidden/>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07070"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semiHidden/>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5F5F"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semiHidden/>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474747"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semiHidden/>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39393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styleId="DateChar" w:customStyle="1">
    <w:name w:val="Date Char"/>
    <w:basedOn w:val="DefaultParagraphFont"/>
    <w:link w:val="Date"/>
    <w:uiPriority w:val="98"/>
    <w:semiHidden/>
    <w:rsid w:val="00B12EF5"/>
    <w:rPr>
      <w:rFonts w:asciiTheme="minorHAnsi" w:hAnsiTheme="minorHAnsi" w:eastAsiaTheme="minorEastAsia" w:cstheme="minorBidi"/>
      <w:szCs w:val="24"/>
    </w:rPr>
  </w:style>
  <w:style w:type="paragraph" w:styleId="DocumentMap">
    <w:name w:val="Document Map"/>
    <w:basedOn w:val="Normal"/>
    <w:link w:val="DocumentMapChar"/>
    <w:uiPriority w:val="98"/>
    <w:semiHidden/>
    <w:rsid w:val="00B12EF5"/>
    <w:pPr>
      <w:spacing w:line="240" w:lineRule="auto"/>
    </w:pPr>
    <w:rPr>
      <w:sz w:val="16"/>
      <w:szCs w:val="22"/>
    </w:rPr>
  </w:style>
  <w:style w:type="character" w:styleId="DocumentMapChar" w:customStyle="1">
    <w:name w:val="Document Map Char"/>
    <w:basedOn w:val="DefaultParagraphFont"/>
    <w:link w:val="DocumentMap"/>
    <w:uiPriority w:val="98"/>
    <w:semiHidden/>
    <w:rsid w:val="00B12EF5"/>
    <w:rPr>
      <w:rFonts w:asciiTheme="minorHAnsi" w:hAnsiTheme="minorHAnsi" w:eastAsiaTheme="minorEastAsia" w:cstheme="minorBidi"/>
      <w:sz w:val="16"/>
      <w:szCs w:val="22"/>
    </w:rPr>
  </w:style>
  <w:style w:type="paragraph" w:styleId="E-mailSignature">
    <w:name w:val="E-mail Signature"/>
    <w:basedOn w:val="Normal"/>
    <w:link w:val="E-mailSignatureChar"/>
    <w:uiPriority w:val="98"/>
    <w:semiHidden/>
    <w:rsid w:val="00B12EF5"/>
    <w:pPr>
      <w:spacing w:line="240" w:lineRule="auto"/>
    </w:pPr>
  </w:style>
  <w:style w:type="character" w:styleId="E-mailSignatureChar" w:customStyle="1">
    <w:name w:val="E-mail Signature Char"/>
    <w:basedOn w:val="DefaultParagraphFont"/>
    <w:link w:val="E-mailSignature"/>
    <w:uiPriority w:val="98"/>
    <w:semiHidden/>
    <w:rsid w:val="00B12EF5"/>
    <w:rPr>
      <w:rFonts w:asciiTheme="minorHAnsi" w:hAnsiTheme="minorHAnsi" w:eastAsiaTheme="minorEastAsia" w:cstheme="minorBidi"/>
      <w:szCs w:val="24"/>
    </w:rPr>
  </w:style>
  <w:style w:type="character" w:styleId="Emphasis">
    <w:name w:val="Emphasis"/>
    <w:basedOn w:val="DefaultParagraphFont"/>
    <w:uiPriority w:val="98"/>
    <w:semiHidden/>
    <w:rsid w:val="00B12EF5"/>
    <w:rPr>
      <w:rFonts w:asciiTheme="minorHAnsi" w:hAnsiTheme="minorHAnsi" w:eastAsiaTheme="minorEastAsia" w:cstheme="minorBidi"/>
      <w:i/>
      <w:iCs/>
      <w:szCs w:val="24"/>
    </w:rPr>
  </w:style>
  <w:style w:type="character" w:styleId="EndnoteReference">
    <w:name w:val="endnote reference"/>
    <w:basedOn w:val="FootnoteReference"/>
    <w:uiPriority w:val="98"/>
    <w:rsid w:val="00B12EF5"/>
    <w:rPr>
      <w:rFonts w:asciiTheme="minorHAnsi" w:hAnsiTheme="minorHAnsi" w:eastAsiaTheme="minorEastAsia" w:cstheme="minorBidi"/>
      <w:sz w:val="14"/>
      <w:szCs w:val="20"/>
      <w:vertAlign w:val="superscript"/>
    </w:rPr>
  </w:style>
  <w:style w:type="paragraph" w:styleId="EndnoteText">
    <w:name w:val="endnote text"/>
    <w:basedOn w:val="FootnoteText"/>
    <w:link w:val="EndnoteTextChar"/>
    <w:uiPriority w:val="98"/>
    <w:rsid w:val="00B96EBF"/>
  </w:style>
  <w:style w:type="character" w:styleId="EndnoteTextChar" w:customStyle="1">
    <w:name w:val="Endnote Text Char"/>
    <w:basedOn w:val="DefaultParagraphFont"/>
    <w:link w:val="EndnoteText"/>
    <w:uiPriority w:val="98"/>
    <w:rsid w:val="00B96EBF"/>
    <w:rPr>
      <w:rFonts w:asciiTheme="minorHAnsi" w:hAnsiTheme="minorHAnsi" w:eastAsiaTheme="minorEastAsia" w:cstheme="minorBidi"/>
      <w:sz w:val="14"/>
      <w:szCs w:val="20"/>
      <w:lang w:eastAsia="zh-CN"/>
    </w:rPr>
  </w:style>
  <w:style w:type="paragraph" w:styleId="EnvelopeAddress">
    <w:name w:val="envelope address"/>
    <w:basedOn w:val="NormalAshurst"/>
    <w:uiPriority w:val="98"/>
    <w:semiHidden/>
    <w:rsid w:val="00881C1F"/>
    <w:pPr>
      <w:framePr w:w="7920" w:h="1980" w:hSpace="180" w:wrap="auto" w:hAnchor="page" w:xAlign="center" w:yAlign="bottom" w:hRule="exact"/>
      <w:spacing w:after="0"/>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8"/>
    <w:semiHidden/>
    <w:rsid w:val="00B12EF5"/>
    <w:rPr>
      <w:rFonts w:asciiTheme="minorHAnsi" w:hAnsiTheme="minorHAnsi" w:eastAsiaTheme="minorEastAsia" w:cstheme="minorBidi"/>
      <w:color w:val="919191" w:themeColor="followedHyperlink"/>
      <w:szCs w:val="24"/>
      <w:u w:val="single"/>
    </w:rPr>
  </w:style>
  <w:style w:type="paragraph" w:styleId="Footer">
    <w:name w:val="footer"/>
    <w:basedOn w:val="Normal"/>
    <w:link w:val="FooterChar"/>
    <w:uiPriority w:val="98"/>
    <w:rsid w:val="00DB2040"/>
    <w:pPr>
      <w:tabs>
        <w:tab w:val="center" w:pos="4513"/>
        <w:tab w:val="right" w:pos="9026"/>
      </w:tabs>
    </w:pPr>
    <w:rPr>
      <w:sz w:val="14"/>
      <w:szCs w:val="20"/>
    </w:rPr>
  </w:style>
  <w:style w:type="character" w:styleId="FooterChar" w:customStyle="1">
    <w:name w:val="Footer Char"/>
    <w:basedOn w:val="DefaultParagraphFont"/>
    <w:link w:val="Footer"/>
    <w:uiPriority w:val="98"/>
    <w:rsid w:val="00DB2040"/>
    <w:rPr>
      <w:sz w:val="14"/>
      <w:szCs w:val="20"/>
    </w:rPr>
  </w:style>
  <w:style w:type="paragraph" w:styleId="Header">
    <w:name w:val="header"/>
    <w:basedOn w:val="Normal"/>
    <w:link w:val="HeaderChar"/>
    <w:rsid w:val="00B12EF5"/>
    <w:pPr>
      <w:tabs>
        <w:tab w:val="center" w:pos="4513"/>
        <w:tab w:val="right" w:pos="9026"/>
      </w:tabs>
      <w:spacing w:line="240" w:lineRule="auto"/>
    </w:pPr>
  </w:style>
  <w:style w:type="character" w:styleId="HeaderChar" w:customStyle="1">
    <w:name w:val="Header Char"/>
    <w:basedOn w:val="DefaultParagraphFont"/>
    <w:link w:val="Header"/>
    <w:rsid w:val="00B12EF5"/>
    <w:rPr>
      <w:rFonts w:asciiTheme="minorHAnsi" w:hAnsiTheme="minorHAnsi" w:eastAsiaTheme="minorEastAsia" w:cstheme="minorBidi"/>
      <w:szCs w:val="24"/>
    </w:rPr>
  </w:style>
  <w:style w:type="character" w:styleId="HTMLAcronym">
    <w:name w:val="HTML Acronym"/>
    <w:basedOn w:val="DefaultParagraphFont"/>
    <w:uiPriority w:val="98"/>
    <w:semiHidden/>
    <w:rsid w:val="00B12EF5"/>
    <w:rPr>
      <w:rFonts w:asciiTheme="minorHAnsi" w:hAnsiTheme="minorHAnsi" w:eastAsiaTheme="minorEastAsia" w:cstheme="minorBidi"/>
      <w:szCs w:val="24"/>
    </w:rPr>
  </w:style>
  <w:style w:type="paragraph" w:styleId="HTMLAddress">
    <w:name w:val="HTML Address"/>
    <w:basedOn w:val="Normal"/>
    <w:link w:val="HTMLAddressChar"/>
    <w:uiPriority w:val="98"/>
    <w:semiHidden/>
    <w:rsid w:val="00B12EF5"/>
    <w:pPr>
      <w:spacing w:line="240" w:lineRule="auto"/>
    </w:pPr>
    <w:rPr>
      <w:i/>
      <w:iCs/>
    </w:rPr>
  </w:style>
  <w:style w:type="character" w:styleId="HTMLAddressChar" w:customStyle="1">
    <w:name w:val="HTML Address Char"/>
    <w:basedOn w:val="DefaultParagraphFont"/>
    <w:link w:val="HTMLAddress"/>
    <w:uiPriority w:val="98"/>
    <w:semiHidden/>
    <w:rsid w:val="00B12EF5"/>
    <w:rPr>
      <w:rFonts w:asciiTheme="minorHAnsi" w:hAnsiTheme="minorHAnsi" w:eastAsiaTheme="minorEastAsia" w:cstheme="minorBidi"/>
      <w:i/>
      <w:iCs/>
      <w:szCs w:val="24"/>
    </w:rPr>
  </w:style>
  <w:style w:type="character" w:styleId="HTMLCite">
    <w:name w:val="HTML Cite"/>
    <w:basedOn w:val="DefaultParagraphFont"/>
    <w:uiPriority w:val="98"/>
    <w:semiHidden/>
    <w:rsid w:val="00B12EF5"/>
    <w:rPr>
      <w:rFonts w:asciiTheme="minorHAnsi" w:hAnsiTheme="minorHAnsi" w:eastAsiaTheme="minorEastAsia" w:cstheme="minorBidi"/>
      <w:i/>
      <w:iCs/>
      <w:szCs w:val="24"/>
    </w:rPr>
  </w:style>
  <w:style w:type="character" w:styleId="HTMLCode">
    <w:name w:val="HTML Code"/>
    <w:basedOn w:val="DefaultParagraphFont"/>
    <w:uiPriority w:val="98"/>
    <w:semiHidden/>
    <w:rsid w:val="00B12EF5"/>
    <w:rPr>
      <w:rFonts w:asciiTheme="minorHAnsi" w:hAnsiTheme="minorHAnsi" w:eastAsiaTheme="minorEastAsia" w:cstheme="minorBidi"/>
      <w:sz w:val="20"/>
      <w:szCs w:val="26"/>
    </w:rPr>
  </w:style>
  <w:style w:type="character" w:styleId="HTMLDefinition">
    <w:name w:val="HTML Definition"/>
    <w:basedOn w:val="DefaultParagraphFont"/>
    <w:uiPriority w:val="98"/>
    <w:semiHidden/>
    <w:rsid w:val="00B12EF5"/>
    <w:rPr>
      <w:rFonts w:asciiTheme="minorHAnsi" w:hAnsiTheme="minorHAnsi" w:eastAsiaTheme="minorEastAsia" w:cstheme="minorBidi"/>
      <w:i/>
      <w:iCs/>
      <w:szCs w:val="24"/>
    </w:rPr>
  </w:style>
  <w:style w:type="character" w:styleId="HTMLKeyboard">
    <w:name w:val="HTML Keyboard"/>
    <w:basedOn w:val="DefaultParagraphFont"/>
    <w:uiPriority w:val="98"/>
    <w:semiHidden/>
    <w:rsid w:val="00B12EF5"/>
    <w:rPr>
      <w:rFonts w:asciiTheme="minorHAnsi" w:hAnsiTheme="minorHAnsi" w:eastAsiaTheme="minorEastAsia" w:cstheme="minorBidi"/>
      <w:sz w:val="20"/>
      <w:szCs w:val="26"/>
    </w:rPr>
  </w:style>
  <w:style w:type="paragraph" w:styleId="HTMLPreformatted">
    <w:name w:val="HTML Preformatted"/>
    <w:basedOn w:val="Normal"/>
    <w:link w:val="HTMLPreformattedChar"/>
    <w:uiPriority w:val="98"/>
    <w:semiHidden/>
    <w:rsid w:val="00B12EF5"/>
    <w:pPr>
      <w:spacing w:line="240" w:lineRule="auto"/>
    </w:pPr>
    <w:rPr>
      <w:sz w:val="20"/>
      <w:szCs w:val="26"/>
    </w:rPr>
  </w:style>
  <w:style w:type="character" w:styleId="HTMLPreformattedChar" w:customStyle="1">
    <w:name w:val="HTML Preformatted Char"/>
    <w:basedOn w:val="DefaultParagraphFont"/>
    <w:link w:val="HTMLPreformatted"/>
    <w:uiPriority w:val="98"/>
    <w:semiHidden/>
    <w:rsid w:val="00B12EF5"/>
    <w:rPr>
      <w:rFonts w:asciiTheme="minorHAnsi" w:hAnsiTheme="minorHAnsi" w:eastAsiaTheme="minorEastAsia" w:cstheme="minorBidi"/>
      <w:sz w:val="20"/>
      <w:szCs w:val="26"/>
    </w:rPr>
  </w:style>
  <w:style w:type="character" w:styleId="HTMLSample">
    <w:name w:val="HTML Sample"/>
    <w:basedOn w:val="DefaultParagraphFont"/>
    <w:uiPriority w:val="98"/>
    <w:semiHidden/>
    <w:rsid w:val="00B12EF5"/>
    <w:rPr>
      <w:rFonts w:asciiTheme="minorHAnsi" w:hAnsiTheme="minorHAnsi" w:eastAsiaTheme="minorEastAsia" w:cstheme="minorBidi"/>
      <w:sz w:val="24"/>
      <w:szCs w:val="30"/>
    </w:rPr>
  </w:style>
  <w:style w:type="character" w:styleId="HTMLTypewriter">
    <w:name w:val="HTML Typewriter"/>
    <w:basedOn w:val="DefaultParagraphFont"/>
    <w:uiPriority w:val="98"/>
    <w:semiHidden/>
    <w:rsid w:val="00B12EF5"/>
    <w:rPr>
      <w:rFonts w:asciiTheme="minorHAnsi" w:hAnsiTheme="minorHAnsi" w:eastAsiaTheme="minorEastAsia" w:cstheme="minorBidi"/>
      <w:sz w:val="20"/>
      <w:szCs w:val="26"/>
    </w:rPr>
  </w:style>
  <w:style w:type="character" w:styleId="HTMLVariable">
    <w:name w:val="HTML Variable"/>
    <w:basedOn w:val="DefaultParagraphFont"/>
    <w:uiPriority w:val="98"/>
    <w:semiHidden/>
    <w:rsid w:val="00B12EF5"/>
    <w:rPr>
      <w:rFonts w:asciiTheme="minorHAnsi" w:hAnsiTheme="minorHAnsi" w:eastAsiaTheme="minorEastAsia" w:cstheme="minorBidi"/>
      <w:i/>
      <w:iCs/>
      <w:szCs w:val="24"/>
    </w:rPr>
  </w:style>
  <w:style w:type="character" w:styleId="Hyperlink">
    <w:name w:val="Hyperlink"/>
    <w:basedOn w:val="DefaultParagraphFont"/>
    <w:uiPriority w:val="98"/>
    <w:rsid w:val="00B12EF5"/>
    <w:rPr>
      <w:rFonts w:asciiTheme="minorHAnsi" w:hAnsiTheme="minorHAnsi" w:eastAsiaTheme="minorEastAsia" w:cstheme="minorBidi"/>
      <w:color w:val="0000FF" w:themeColor="hyperlink"/>
      <w:szCs w:val="24"/>
      <w:u w:val="single"/>
    </w:rPr>
  </w:style>
  <w:style w:type="paragraph" w:styleId="Index2">
    <w:name w:val="index 2"/>
    <w:basedOn w:val="Normal"/>
    <w:next w:val="Normal"/>
    <w:uiPriority w:val="98"/>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hAnsiTheme="minorHAnsi" w:eastAsiaTheme="minorEastAsia" w:cstheme="minorBidi"/>
      <w:b/>
      <w:bCs/>
      <w:i/>
      <w:iCs/>
      <w:color w:val="DDDDDD" w:themeColor="accent1"/>
      <w:szCs w:val="24"/>
    </w:rPr>
  </w:style>
  <w:style w:type="paragraph" w:styleId="IntenseQuote">
    <w:name w:val="Intense Quote"/>
    <w:basedOn w:val="Normal"/>
    <w:next w:val="Normal"/>
    <w:link w:val="IntenseQuoteChar"/>
    <w:uiPriority w:val="98"/>
    <w:semiHidden/>
    <w:rsid w:val="00B12EF5"/>
    <w:pPr>
      <w:pBdr>
        <w:bottom w:val="single" w:color="DDDDDD" w:themeColor="accent1" w:sz="4" w:space="4"/>
      </w:pBdr>
      <w:spacing w:before="200" w:after="280"/>
      <w:ind w:left="936" w:right="936"/>
    </w:pPr>
    <w:rPr>
      <w:b/>
      <w:bCs/>
      <w:i/>
      <w:iCs/>
      <w:color w:val="DDDDDD" w:themeColor="accent1"/>
    </w:rPr>
  </w:style>
  <w:style w:type="character" w:styleId="IntenseQuoteChar" w:customStyle="1">
    <w:name w:val="Intense Quote Char"/>
    <w:basedOn w:val="DefaultParagraphFont"/>
    <w:link w:val="IntenseQuote"/>
    <w:uiPriority w:val="98"/>
    <w:semiHidden/>
    <w:rsid w:val="00B12EF5"/>
    <w:rPr>
      <w:rFonts w:asciiTheme="minorHAnsi" w:hAnsiTheme="minorHAnsi" w:eastAsiaTheme="minorEastAsia" w:cstheme="minorBidi"/>
      <w:b/>
      <w:bCs/>
      <w:i/>
      <w:iCs/>
      <w:color w:val="DDDDDD" w:themeColor="accent1"/>
      <w:szCs w:val="24"/>
    </w:rPr>
  </w:style>
  <w:style w:type="character" w:styleId="IntenseReference">
    <w:name w:val="Intense Reference"/>
    <w:basedOn w:val="DefaultParagraphFont"/>
    <w:uiPriority w:val="98"/>
    <w:semiHidden/>
    <w:rsid w:val="00B12EF5"/>
    <w:rPr>
      <w:rFonts w:asciiTheme="minorHAnsi" w:hAnsiTheme="minorHAnsi" w:eastAsiaTheme="minorEastAsia" w:cstheme="minorBidi"/>
      <w:b/>
      <w:bCs/>
      <w:smallCaps/>
      <w:color w:val="B2B2B2" w:themeColor="accent2"/>
      <w:spacing w:val="5"/>
      <w:szCs w:val="24"/>
      <w:u w:val="single"/>
    </w:rPr>
  </w:style>
  <w:style w:type="table" w:styleId="LightGrid">
    <w:name w:val="Light Grid"/>
    <w:basedOn w:val="TableNormal"/>
    <w:uiPriority w:val="98"/>
    <w:semiHidden/>
    <w:rsid w:val="00B12EF5"/>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98"/>
    <w:semiHidden/>
    <w:rsid w:val="00B12EF5"/>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DDDDDD" w:themeColor="accent1" w:sz="8" w:space="0"/>
          <w:left w:val="single" w:color="DDDDDD" w:themeColor="accent1" w:sz="8" w:space="0"/>
          <w:bottom w:val="single" w:color="DDDDDD" w:themeColor="accent1" w:sz="18" w:space="0"/>
          <w:right w:val="single" w:color="DDDDDD" w:themeColor="accent1" w:sz="8" w:space="0"/>
          <w:insideH w:val="nil"/>
          <w:insideV w:val="single" w:color="DDDDD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DDDDDD" w:themeColor="accent1" w:sz="6" w:space="0"/>
          <w:left w:val="single" w:color="DDDDDD" w:themeColor="accent1" w:sz="8" w:space="0"/>
          <w:bottom w:val="single" w:color="DDDDDD" w:themeColor="accent1" w:sz="8" w:space="0"/>
          <w:right w:val="single" w:color="DDDDDD" w:themeColor="accent1" w:sz="8" w:space="0"/>
          <w:insideH w:val="nil"/>
          <w:insideV w:val="single" w:color="DDDDD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shd w:val="clear" w:color="auto" w:fill="F6F6F6" w:themeFill="accent1" w:themeFillTint="3F"/>
      </w:tcPr>
    </w:tblStylePr>
    <w:tblStylePr w:type="band1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V w:val="single" w:color="DDDDDD" w:themeColor="accent1" w:sz="8" w:space="0"/>
        </w:tcBorders>
        <w:shd w:val="clear" w:color="auto" w:fill="F6F6F6" w:themeFill="accent1" w:themeFillTint="3F"/>
      </w:tcPr>
    </w:tblStylePr>
    <w:tblStylePr w:type="band2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V w:val="single" w:color="DDDDDD" w:themeColor="accent1" w:sz="8" w:space="0"/>
        </w:tcBorders>
      </w:tcPr>
    </w:tblStylePr>
  </w:style>
  <w:style w:type="table" w:styleId="LightGrid-Accent2">
    <w:name w:val="Light Grid Accent 2"/>
    <w:basedOn w:val="TableNormal"/>
    <w:uiPriority w:val="98"/>
    <w:semiHidden/>
    <w:rsid w:val="00B12EF5"/>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insideH w:val="single" w:color="B2B2B2" w:themeColor="accent2" w:sz="8" w:space="0"/>
        <w:insideV w:val="single" w:color="B2B2B2"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B2B2B2" w:themeColor="accent2" w:sz="8" w:space="0"/>
          <w:left w:val="single" w:color="B2B2B2" w:themeColor="accent2" w:sz="8" w:space="0"/>
          <w:bottom w:val="single" w:color="B2B2B2" w:themeColor="accent2" w:sz="18" w:space="0"/>
          <w:right w:val="single" w:color="B2B2B2" w:themeColor="accent2" w:sz="8" w:space="0"/>
          <w:insideH w:val="nil"/>
          <w:insideV w:val="single" w:color="B2B2B2"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B2B2B2" w:themeColor="accent2" w:sz="6" w:space="0"/>
          <w:left w:val="single" w:color="B2B2B2" w:themeColor="accent2" w:sz="8" w:space="0"/>
          <w:bottom w:val="single" w:color="B2B2B2" w:themeColor="accent2" w:sz="8" w:space="0"/>
          <w:right w:val="single" w:color="B2B2B2" w:themeColor="accent2" w:sz="8" w:space="0"/>
          <w:insideH w:val="nil"/>
          <w:insideV w:val="single" w:color="B2B2B2"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tblStylePr w:type="band1Vert">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shd w:val="clear" w:color="auto" w:fill="EBEBEB" w:themeFill="accent2" w:themeFillTint="3F"/>
      </w:tcPr>
    </w:tblStylePr>
    <w:tblStylePr w:type="band1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insideV w:val="single" w:color="B2B2B2" w:themeColor="accent2" w:sz="8" w:space="0"/>
        </w:tcBorders>
        <w:shd w:val="clear" w:color="auto" w:fill="EBEBEB" w:themeFill="accent2" w:themeFillTint="3F"/>
      </w:tcPr>
    </w:tblStylePr>
    <w:tblStylePr w:type="band2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insideV w:val="single" w:color="B2B2B2" w:themeColor="accent2" w:sz="8" w:space="0"/>
        </w:tcBorders>
      </w:tcPr>
    </w:tblStylePr>
  </w:style>
  <w:style w:type="table" w:styleId="LightGrid-Accent3">
    <w:name w:val="Light Grid Accent 3"/>
    <w:basedOn w:val="TableNormal"/>
    <w:uiPriority w:val="98"/>
    <w:semiHidden/>
    <w:rsid w:val="00B12EF5"/>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insideH w:val="single" w:color="969696" w:themeColor="accent3" w:sz="8" w:space="0"/>
        <w:insideV w:val="single" w:color="969696"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69696" w:themeColor="accent3" w:sz="8" w:space="0"/>
          <w:left w:val="single" w:color="969696" w:themeColor="accent3" w:sz="8" w:space="0"/>
          <w:bottom w:val="single" w:color="969696" w:themeColor="accent3" w:sz="18" w:space="0"/>
          <w:right w:val="single" w:color="969696" w:themeColor="accent3" w:sz="8" w:space="0"/>
          <w:insideH w:val="nil"/>
          <w:insideV w:val="single" w:color="969696"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69696" w:themeColor="accent3" w:sz="6" w:space="0"/>
          <w:left w:val="single" w:color="969696" w:themeColor="accent3" w:sz="8" w:space="0"/>
          <w:bottom w:val="single" w:color="969696" w:themeColor="accent3" w:sz="8" w:space="0"/>
          <w:right w:val="single" w:color="969696" w:themeColor="accent3" w:sz="8" w:space="0"/>
          <w:insideH w:val="nil"/>
          <w:insideV w:val="single" w:color="969696"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tblStylePr w:type="band1Vert">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shd w:val="clear" w:color="auto" w:fill="E5E5E5" w:themeFill="accent3" w:themeFillTint="3F"/>
      </w:tcPr>
    </w:tblStylePr>
    <w:tblStylePr w:type="band1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insideV w:val="single" w:color="969696" w:themeColor="accent3" w:sz="8" w:space="0"/>
        </w:tcBorders>
        <w:shd w:val="clear" w:color="auto" w:fill="E5E5E5" w:themeFill="accent3" w:themeFillTint="3F"/>
      </w:tcPr>
    </w:tblStylePr>
    <w:tblStylePr w:type="band2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insideV w:val="single" w:color="969696" w:themeColor="accent3" w:sz="8" w:space="0"/>
        </w:tcBorders>
      </w:tcPr>
    </w:tblStylePr>
  </w:style>
  <w:style w:type="table" w:styleId="LightGrid-Accent4">
    <w:name w:val="Light Grid Accent 4"/>
    <w:basedOn w:val="TableNormal"/>
    <w:uiPriority w:val="98"/>
    <w:semiHidden/>
    <w:rsid w:val="00B12EF5"/>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insideH w:val="single" w:color="808080" w:themeColor="accent4" w:sz="8" w:space="0"/>
        <w:insideV w:val="single" w:color="80808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8080" w:themeColor="accent4" w:sz="8" w:space="0"/>
          <w:left w:val="single" w:color="808080" w:themeColor="accent4" w:sz="8" w:space="0"/>
          <w:bottom w:val="single" w:color="808080" w:themeColor="accent4" w:sz="18" w:space="0"/>
          <w:right w:val="single" w:color="808080" w:themeColor="accent4" w:sz="8" w:space="0"/>
          <w:insideH w:val="nil"/>
          <w:insideV w:val="single" w:color="808080"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8080" w:themeColor="accent4" w:sz="6" w:space="0"/>
          <w:left w:val="single" w:color="808080" w:themeColor="accent4" w:sz="8" w:space="0"/>
          <w:bottom w:val="single" w:color="808080" w:themeColor="accent4" w:sz="8" w:space="0"/>
          <w:right w:val="single" w:color="808080" w:themeColor="accent4" w:sz="8" w:space="0"/>
          <w:insideH w:val="nil"/>
          <w:insideV w:val="single" w:color="808080"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tblStylePr w:type="band1Vert">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shd w:val="clear" w:color="auto" w:fill="DFDFDF" w:themeFill="accent4" w:themeFillTint="3F"/>
      </w:tcPr>
    </w:tblStylePr>
    <w:tblStylePr w:type="band1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insideV w:val="single" w:color="808080" w:themeColor="accent4" w:sz="8" w:space="0"/>
        </w:tcBorders>
        <w:shd w:val="clear" w:color="auto" w:fill="DFDFDF" w:themeFill="accent4" w:themeFillTint="3F"/>
      </w:tcPr>
    </w:tblStylePr>
    <w:tblStylePr w:type="band2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insideV w:val="single" w:color="808080" w:themeColor="accent4" w:sz="8" w:space="0"/>
        </w:tcBorders>
      </w:tcPr>
    </w:tblStylePr>
  </w:style>
  <w:style w:type="table" w:styleId="LightGrid-Accent5">
    <w:name w:val="Light Grid Accent 5"/>
    <w:basedOn w:val="TableNormal"/>
    <w:uiPriority w:val="98"/>
    <w:semiHidden/>
    <w:rsid w:val="00B12EF5"/>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insideH w:val="single" w:color="5F5F5F" w:themeColor="accent5" w:sz="8" w:space="0"/>
        <w:insideV w:val="single" w:color="5F5F5F"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F5F5F" w:themeColor="accent5" w:sz="8" w:space="0"/>
          <w:left w:val="single" w:color="5F5F5F" w:themeColor="accent5" w:sz="8" w:space="0"/>
          <w:bottom w:val="single" w:color="5F5F5F" w:themeColor="accent5" w:sz="18" w:space="0"/>
          <w:right w:val="single" w:color="5F5F5F" w:themeColor="accent5" w:sz="8" w:space="0"/>
          <w:insideH w:val="nil"/>
          <w:insideV w:val="single" w:color="5F5F5F"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F5F5F" w:themeColor="accent5" w:sz="6" w:space="0"/>
          <w:left w:val="single" w:color="5F5F5F" w:themeColor="accent5" w:sz="8" w:space="0"/>
          <w:bottom w:val="single" w:color="5F5F5F" w:themeColor="accent5" w:sz="8" w:space="0"/>
          <w:right w:val="single" w:color="5F5F5F" w:themeColor="accent5" w:sz="8" w:space="0"/>
          <w:insideH w:val="nil"/>
          <w:insideV w:val="single" w:color="5F5F5F"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tblStylePr w:type="band1Vert">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shd w:val="clear" w:color="auto" w:fill="D7D7D7" w:themeFill="accent5" w:themeFillTint="3F"/>
      </w:tcPr>
    </w:tblStylePr>
    <w:tblStylePr w:type="band1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insideV w:val="single" w:color="5F5F5F" w:themeColor="accent5" w:sz="8" w:space="0"/>
        </w:tcBorders>
        <w:shd w:val="clear" w:color="auto" w:fill="D7D7D7" w:themeFill="accent5" w:themeFillTint="3F"/>
      </w:tcPr>
    </w:tblStylePr>
    <w:tblStylePr w:type="band2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insideV w:val="single" w:color="5F5F5F" w:themeColor="accent5" w:sz="8" w:space="0"/>
        </w:tcBorders>
      </w:tcPr>
    </w:tblStylePr>
  </w:style>
  <w:style w:type="table" w:styleId="LightGrid-Accent6">
    <w:name w:val="Light Grid Accent 6"/>
    <w:basedOn w:val="TableNormal"/>
    <w:uiPriority w:val="98"/>
    <w:semiHidden/>
    <w:rsid w:val="00B12EF5"/>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insideH w:val="single" w:color="4D4D4D" w:themeColor="accent6" w:sz="8" w:space="0"/>
        <w:insideV w:val="single" w:color="4D4D4D"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D4D4D" w:themeColor="accent6" w:sz="8" w:space="0"/>
          <w:left w:val="single" w:color="4D4D4D" w:themeColor="accent6" w:sz="8" w:space="0"/>
          <w:bottom w:val="single" w:color="4D4D4D" w:themeColor="accent6" w:sz="18" w:space="0"/>
          <w:right w:val="single" w:color="4D4D4D" w:themeColor="accent6" w:sz="8" w:space="0"/>
          <w:insideH w:val="nil"/>
          <w:insideV w:val="single" w:color="4D4D4D"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D4D4D" w:themeColor="accent6" w:sz="6" w:space="0"/>
          <w:left w:val="single" w:color="4D4D4D" w:themeColor="accent6" w:sz="8" w:space="0"/>
          <w:bottom w:val="single" w:color="4D4D4D" w:themeColor="accent6" w:sz="8" w:space="0"/>
          <w:right w:val="single" w:color="4D4D4D" w:themeColor="accent6" w:sz="8" w:space="0"/>
          <w:insideH w:val="nil"/>
          <w:insideV w:val="single" w:color="4D4D4D"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tblStylePr w:type="band1Vert">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shd w:val="clear" w:color="auto" w:fill="D3D3D3" w:themeFill="accent6" w:themeFillTint="3F"/>
      </w:tcPr>
    </w:tblStylePr>
    <w:tblStylePr w:type="band1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insideV w:val="single" w:color="4D4D4D" w:themeColor="accent6" w:sz="8" w:space="0"/>
        </w:tcBorders>
        <w:shd w:val="clear" w:color="auto" w:fill="D3D3D3" w:themeFill="accent6" w:themeFillTint="3F"/>
      </w:tcPr>
    </w:tblStylePr>
    <w:tblStylePr w:type="band2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insideV w:val="single" w:color="4D4D4D" w:themeColor="accent6" w:sz="8" w:space="0"/>
        </w:tcBorders>
      </w:tcPr>
    </w:tblStylePr>
  </w:style>
  <w:style w:type="table" w:styleId="LightList">
    <w:name w:val="Light List"/>
    <w:basedOn w:val="TableNormal"/>
    <w:uiPriority w:val="98"/>
    <w:semiHidden/>
    <w:rsid w:val="00B12EF5"/>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98"/>
    <w:semiHidden/>
    <w:rsid w:val="00B12EF5"/>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color="DDDDDD" w:themeColor="accent1" w:sz="6" w:space="0"/>
          <w:left w:val="single" w:color="DDDDDD" w:themeColor="accent1" w:sz="8" w:space="0"/>
          <w:bottom w:val="single" w:color="DDDDDD" w:themeColor="accent1" w:sz="8" w:space="0"/>
          <w:right w:val="single" w:color="DDDDDD" w:themeColor="accent1" w:sz="8" w:space="0"/>
        </w:tcBorders>
      </w:tcPr>
    </w:tblStylePr>
    <w:tblStylePr w:type="firstCol">
      <w:rPr>
        <w:b/>
        <w:bCs/>
      </w:rPr>
    </w:tblStylePr>
    <w:tblStylePr w:type="lastCol">
      <w:rPr>
        <w:b/>
        <w:bCs/>
      </w:r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tblStylePr w:type="band1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style>
  <w:style w:type="table" w:styleId="LightList-Accent2">
    <w:name w:val="Light List Accent 2"/>
    <w:basedOn w:val="TableNormal"/>
    <w:uiPriority w:val="98"/>
    <w:semiHidden/>
    <w:rsid w:val="00B12EF5"/>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color="B2B2B2" w:themeColor="accent2" w:sz="6" w:space="0"/>
          <w:left w:val="single" w:color="B2B2B2" w:themeColor="accent2" w:sz="8" w:space="0"/>
          <w:bottom w:val="single" w:color="B2B2B2" w:themeColor="accent2" w:sz="8" w:space="0"/>
          <w:right w:val="single" w:color="B2B2B2" w:themeColor="accent2" w:sz="8" w:space="0"/>
        </w:tcBorders>
      </w:tcPr>
    </w:tblStylePr>
    <w:tblStylePr w:type="firstCol">
      <w:rPr>
        <w:b/>
        <w:bCs/>
      </w:rPr>
    </w:tblStylePr>
    <w:tblStylePr w:type="lastCol">
      <w:rPr>
        <w:b/>
        <w:bCs/>
      </w:rPr>
    </w:tblStylePr>
    <w:tblStylePr w:type="band1Vert">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tblStylePr w:type="band1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style>
  <w:style w:type="table" w:styleId="LightList-Accent3">
    <w:name w:val="Light List Accent 3"/>
    <w:basedOn w:val="TableNormal"/>
    <w:uiPriority w:val="98"/>
    <w:semiHidden/>
    <w:rsid w:val="00B12EF5"/>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color="969696" w:themeColor="accent3" w:sz="6" w:space="0"/>
          <w:left w:val="single" w:color="969696" w:themeColor="accent3" w:sz="8" w:space="0"/>
          <w:bottom w:val="single" w:color="969696" w:themeColor="accent3" w:sz="8" w:space="0"/>
          <w:right w:val="single" w:color="969696" w:themeColor="accent3" w:sz="8" w:space="0"/>
        </w:tcBorders>
      </w:tcPr>
    </w:tblStylePr>
    <w:tblStylePr w:type="firstCol">
      <w:rPr>
        <w:b/>
        <w:bCs/>
      </w:rPr>
    </w:tblStylePr>
    <w:tblStylePr w:type="lastCol">
      <w:rPr>
        <w:b/>
        <w:bCs/>
      </w:rPr>
    </w:tblStylePr>
    <w:tblStylePr w:type="band1Vert">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tblStylePr w:type="band1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style>
  <w:style w:type="table" w:styleId="LightList-Accent4">
    <w:name w:val="Light List Accent 4"/>
    <w:basedOn w:val="TableNormal"/>
    <w:uiPriority w:val="98"/>
    <w:semiHidden/>
    <w:rsid w:val="00B12EF5"/>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color="808080" w:themeColor="accent4" w:sz="6" w:space="0"/>
          <w:left w:val="single" w:color="808080" w:themeColor="accent4" w:sz="8" w:space="0"/>
          <w:bottom w:val="single" w:color="808080" w:themeColor="accent4" w:sz="8" w:space="0"/>
          <w:right w:val="single" w:color="808080" w:themeColor="accent4" w:sz="8" w:space="0"/>
        </w:tcBorders>
      </w:tcPr>
    </w:tblStylePr>
    <w:tblStylePr w:type="firstCol">
      <w:rPr>
        <w:b/>
        <w:bCs/>
      </w:rPr>
    </w:tblStylePr>
    <w:tblStylePr w:type="lastCol">
      <w:rPr>
        <w:b/>
        <w:bCs/>
      </w:rPr>
    </w:tblStylePr>
    <w:tblStylePr w:type="band1Vert">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tblStylePr w:type="band1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style>
  <w:style w:type="table" w:styleId="LightList-Accent5">
    <w:name w:val="Light List Accent 5"/>
    <w:basedOn w:val="TableNormal"/>
    <w:uiPriority w:val="98"/>
    <w:semiHidden/>
    <w:rsid w:val="00B12EF5"/>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color="5F5F5F" w:themeColor="accent5" w:sz="6" w:space="0"/>
          <w:left w:val="single" w:color="5F5F5F" w:themeColor="accent5" w:sz="8" w:space="0"/>
          <w:bottom w:val="single" w:color="5F5F5F" w:themeColor="accent5" w:sz="8" w:space="0"/>
          <w:right w:val="single" w:color="5F5F5F" w:themeColor="accent5" w:sz="8" w:space="0"/>
        </w:tcBorders>
      </w:tcPr>
    </w:tblStylePr>
    <w:tblStylePr w:type="firstCol">
      <w:rPr>
        <w:b/>
        <w:bCs/>
      </w:rPr>
    </w:tblStylePr>
    <w:tblStylePr w:type="lastCol">
      <w:rPr>
        <w:b/>
        <w:bCs/>
      </w:rPr>
    </w:tblStylePr>
    <w:tblStylePr w:type="band1Vert">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tblStylePr w:type="band1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style>
  <w:style w:type="table" w:styleId="LightList-Accent6">
    <w:name w:val="Light List Accent 6"/>
    <w:basedOn w:val="TableNormal"/>
    <w:uiPriority w:val="98"/>
    <w:semiHidden/>
    <w:rsid w:val="00B12EF5"/>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color="4D4D4D" w:themeColor="accent6" w:sz="6" w:space="0"/>
          <w:left w:val="single" w:color="4D4D4D" w:themeColor="accent6" w:sz="8" w:space="0"/>
          <w:bottom w:val="single" w:color="4D4D4D" w:themeColor="accent6" w:sz="8" w:space="0"/>
          <w:right w:val="single" w:color="4D4D4D" w:themeColor="accent6" w:sz="8" w:space="0"/>
        </w:tcBorders>
      </w:tcPr>
    </w:tblStylePr>
    <w:tblStylePr w:type="firstCol">
      <w:rPr>
        <w:b/>
        <w:bCs/>
      </w:rPr>
    </w:tblStylePr>
    <w:tblStylePr w:type="lastCol">
      <w:rPr>
        <w:b/>
        <w:bCs/>
      </w:rPr>
    </w:tblStylePr>
    <w:tblStylePr w:type="band1Vert">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tblStylePr w:type="band1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A5A5A5" w:themeColor="accent1" w:themeShade="BF"/>
    </w:rPr>
    <w:tblPr>
      <w:tblStyleRowBandSize w:val="1"/>
      <w:tblStyleColBandSize w:val="1"/>
      <w:tblBorders>
        <w:top w:val="single" w:color="DDDDDD" w:themeColor="accent1" w:sz="8" w:space="0"/>
        <w:bottom w:val="single" w:color="DDDDDD" w:themeColor="accent1" w:sz="8" w:space="0"/>
      </w:tblBorders>
    </w:tblPr>
    <w:tblStylePr w:type="firstRow">
      <w:pPr>
        <w:spacing w:before="0" w:after="0" w:line="240" w:lineRule="auto"/>
      </w:pPr>
      <w:rPr>
        <w:b/>
        <w:bCs/>
      </w:rPr>
      <w:tblPr/>
      <w:tcPr>
        <w:tcBorders>
          <w:top w:val="single" w:color="DDDDDD" w:themeColor="accent1" w:sz="8" w:space="0"/>
          <w:left w:val="nil"/>
          <w:bottom w:val="single" w:color="DDDDDD" w:themeColor="accent1" w:sz="8" w:space="0"/>
          <w:right w:val="nil"/>
          <w:insideH w:val="nil"/>
          <w:insideV w:val="nil"/>
        </w:tcBorders>
      </w:tcPr>
    </w:tblStylePr>
    <w:tblStylePr w:type="lastRow">
      <w:pPr>
        <w:spacing w:before="0" w:after="0" w:line="240" w:lineRule="auto"/>
      </w:pPr>
      <w:rPr>
        <w:b/>
        <w:bCs/>
      </w:rPr>
      <w:tblPr/>
      <w:tcPr>
        <w:tcBorders>
          <w:top w:val="single" w:color="DDDDDD" w:themeColor="accent1" w:sz="8" w:space="0"/>
          <w:left w:val="nil"/>
          <w:bottom w:val="single" w:color="DDDDD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98"/>
    <w:semiHidden/>
    <w:rsid w:val="00B12EF5"/>
    <w:rPr>
      <w:color w:val="858585" w:themeColor="accent2" w:themeShade="BF"/>
    </w:rPr>
    <w:tblPr>
      <w:tblStyleRowBandSize w:val="1"/>
      <w:tblStyleColBandSize w:val="1"/>
      <w:tblBorders>
        <w:top w:val="single" w:color="B2B2B2" w:themeColor="accent2" w:sz="8" w:space="0"/>
        <w:bottom w:val="single" w:color="B2B2B2" w:themeColor="accent2" w:sz="8" w:space="0"/>
      </w:tblBorders>
    </w:tblPr>
    <w:tblStylePr w:type="firstRow">
      <w:pPr>
        <w:spacing w:before="0" w:after="0" w:line="240" w:lineRule="auto"/>
      </w:pPr>
      <w:rPr>
        <w:b/>
        <w:bCs/>
      </w:rPr>
      <w:tblPr/>
      <w:tcPr>
        <w:tcBorders>
          <w:top w:val="single" w:color="B2B2B2" w:themeColor="accent2" w:sz="8" w:space="0"/>
          <w:left w:val="nil"/>
          <w:bottom w:val="single" w:color="B2B2B2" w:themeColor="accent2" w:sz="8" w:space="0"/>
          <w:right w:val="nil"/>
          <w:insideH w:val="nil"/>
          <w:insideV w:val="nil"/>
        </w:tcBorders>
      </w:tcPr>
    </w:tblStylePr>
    <w:tblStylePr w:type="lastRow">
      <w:pPr>
        <w:spacing w:before="0" w:after="0" w:line="240" w:lineRule="auto"/>
      </w:pPr>
      <w:rPr>
        <w:b/>
        <w:bCs/>
      </w:rPr>
      <w:tblPr/>
      <w:tcPr>
        <w:tcBorders>
          <w:top w:val="single" w:color="B2B2B2" w:themeColor="accent2" w:sz="8" w:space="0"/>
          <w:left w:val="nil"/>
          <w:bottom w:val="single" w:color="B2B2B2"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98"/>
    <w:semiHidden/>
    <w:rsid w:val="00B12EF5"/>
    <w:rPr>
      <w:color w:val="707070" w:themeColor="accent3" w:themeShade="BF"/>
    </w:rPr>
    <w:tblPr>
      <w:tblStyleRowBandSize w:val="1"/>
      <w:tblStyleColBandSize w:val="1"/>
      <w:tblBorders>
        <w:top w:val="single" w:color="969696" w:themeColor="accent3" w:sz="8" w:space="0"/>
        <w:bottom w:val="single" w:color="969696" w:themeColor="accent3" w:sz="8" w:space="0"/>
      </w:tblBorders>
    </w:tblPr>
    <w:tblStylePr w:type="firstRow">
      <w:pPr>
        <w:spacing w:before="0" w:after="0" w:line="240" w:lineRule="auto"/>
      </w:pPr>
      <w:rPr>
        <w:b/>
        <w:bCs/>
      </w:rPr>
      <w:tblPr/>
      <w:tcPr>
        <w:tcBorders>
          <w:top w:val="single" w:color="969696" w:themeColor="accent3" w:sz="8" w:space="0"/>
          <w:left w:val="nil"/>
          <w:bottom w:val="single" w:color="969696" w:themeColor="accent3" w:sz="8" w:space="0"/>
          <w:right w:val="nil"/>
          <w:insideH w:val="nil"/>
          <w:insideV w:val="nil"/>
        </w:tcBorders>
      </w:tcPr>
    </w:tblStylePr>
    <w:tblStylePr w:type="lastRow">
      <w:pPr>
        <w:spacing w:before="0" w:after="0" w:line="240" w:lineRule="auto"/>
      </w:pPr>
      <w:rPr>
        <w:b/>
        <w:bCs/>
      </w:rPr>
      <w:tblPr/>
      <w:tcPr>
        <w:tcBorders>
          <w:top w:val="single" w:color="969696" w:themeColor="accent3" w:sz="8" w:space="0"/>
          <w:left w:val="nil"/>
          <w:bottom w:val="single" w:color="969696"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98"/>
    <w:semiHidden/>
    <w:rsid w:val="00B12EF5"/>
    <w:rPr>
      <w:color w:val="5F5F5F" w:themeColor="accent4" w:themeShade="BF"/>
    </w:rPr>
    <w:tblPr>
      <w:tblStyleRowBandSize w:val="1"/>
      <w:tblStyleColBandSize w:val="1"/>
      <w:tblBorders>
        <w:top w:val="single" w:color="808080" w:themeColor="accent4" w:sz="8" w:space="0"/>
        <w:bottom w:val="single" w:color="808080" w:themeColor="accent4" w:sz="8" w:space="0"/>
      </w:tblBorders>
    </w:tblPr>
    <w:tblStylePr w:type="firstRow">
      <w:pPr>
        <w:spacing w:before="0" w:after="0" w:line="240" w:lineRule="auto"/>
      </w:pPr>
      <w:rPr>
        <w:b/>
        <w:bCs/>
      </w:rPr>
      <w:tblPr/>
      <w:tcPr>
        <w:tcBorders>
          <w:top w:val="single" w:color="808080" w:themeColor="accent4" w:sz="8" w:space="0"/>
          <w:left w:val="nil"/>
          <w:bottom w:val="single" w:color="808080" w:themeColor="accent4" w:sz="8" w:space="0"/>
          <w:right w:val="nil"/>
          <w:insideH w:val="nil"/>
          <w:insideV w:val="nil"/>
        </w:tcBorders>
      </w:tcPr>
    </w:tblStylePr>
    <w:tblStylePr w:type="lastRow">
      <w:pPr>
        <w:spacing w:before="0" w:after="0" w:line="240" w:lineRule="auto"/>
      </w:pPr>
      <w:rPr>
        <w:b/>
        <w:bCs/>
      </w:rPr>
      <w:tblPr/>
      <w:tcPr>
        <w:tcBorders>
          <w:top w:val="single" w:color="808080" w:themeColor="accent4" w:sz="8" w:space="0"/>
          <w:left w:val="nil"/>
          <w:bottom w:val="single" w:color="80808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98"/>
    <w:semiHidden/>
    <w:rsid w:val="00B12EF5"/>
    <w:rPr>
      <w:color w:val="474747" w:themeColor="accent5" w:themeShade="BF"/>
    </w:rPr>
    <w:tblPr>
      <w:tblStyleRowBandSize w:val="1"/>
      <w:tblStyleColBandSize w:val="1"/>
      <w:tblBorders>
        <w:top w:val="single" w:color="5F5F5F" w:themeColor="accent5" w:sz="8" w:space="0"/>
        <w:bottom w:val="single" w:color="5F5F5F" w:themeColor="accent5" w:sz="8" w:space="0"/>
      </w:tblBorders>
    </w:tblPr>
    <w:tblStylePr w:type="firstRow">
      <w:pPr>
        <w:spacing w:before="0" w:after="0" w:line="240" w:lineRule="auto"/>
      </w:pPr>
      <w:rPr>
        <w:b/>
        <w:bCs/>
      </w:rPr>
      <w:tblPr/>
      <w:tcPr>
        <w:tcBorders>
          <w:top w:val="single" w:color="5F5F5F" w:themeColor="accent5" w:sz="8" w:space="0"/>
          <w:left w:val="nil"/>
          <w:bottom w:val="single" w:color="5F5F5F" w:themeColor="accent5" w:sz="8" w:space="0"/>
          <w:right w:val="nil"/>
          <w:insideH w:val="nil"/>
          <w:insideV w:val="nil"/>
        </w:tcBorders>
      </w:tcPr>
    </w:tblStylePr>
    <w:tblStylePr w:type="lastRow">
      <w:pPr>
        <w:spacing w:before="0" w:after="0" w:line="240" w:lineRule="auto"/>
      </w:pPr>
      <w:rPr>
        <w:b/>
        <w:bCs/>
      </w:rPr>
      <w:tblPr/>
      <w:tcPr>
        <w:tcBorders>
          <w:top w:val="single" w:color="5F5F5F" w:themeColor="accent5" w:sz="8" w:space="0"/>
          <w:left w:val="nil"/>
          <w:bottom w:val="single" w:color="5F5F5F"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semiHidden/>
    <w:rsid w:val="00B12EF5"/>
    <w:rPr>
      <w:color w:val="393939" w:themeColor="accent6" w:themeShade="BF"/>
    </w:rPr>
    <w:tblPr>
      <w:tblStyleRowBandSize w:val="1"/>
      <w:tblStyleColBandSize w:val="1"/>
      <w:tblBorders>
        <w:top w:val="single" w:color="4D4D4D" w:themeColor="accent6" w:sz="8" w:space="0"/>
        <w:bottom w:val="single" w:color="4D4D4D" w:themeColor="accent6" w:sz="8" w:space="0"/>
      </w:tblBorders>
    </w:tblPr>
    <w:tblStylePr w:type="firstRow">
      <w:pPr>
        <w:spacing w:before="0" w:after="0" w:line="240" w:lineRule="auto"/>
      </w:pPr>
      <w:rPr>
        <w:b/>
        <w:bCs/>
      </w:rPr>
      <w:tblPr/>
      <w:tcPr>
        <w:tcBorders>
          <w:top w:val="single" w:color="4D4D4D" w:themeColor="accent6" w:sz="8" w:space="0"/>
          <w:left w:val="nil"/>
          <w:bottom w:val="single" w:color="4D4D4D" w:themeColor="accent6" w:sz="8" w:space="0"/>
          <w:right w:val="nil"/>
          <w:insideH w:val="nil"/>
          <w:insideV w:val="nil"/>
        </w:tcBorders>
      </w:tcPr>
    </w:tblStylePr>
    <w:tblStylePr w:type="lastRow">
      <w:pPr>
        <w:spacing w:before="0" w:after="0" w:line="240" w:lineRule="auto"/>
      </w:pPr>
      <w:rPr>
        <w:b/>
        <w:bCs/>
      </w:rPr>
      <w:tblPr/>
      <w:tcPr>
        <w:tcBorders>
          <w:top w:val="single" w:color="4D4D4D" w:themeColor="accent6" w:sz="8" w:space="0"/>
          <w:left w:val="nil"/>
          <w:bottom w:val="single" w:color="4D4D4D"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hAnsiTheme="minorHAnsi" w:eastAsiaTheme="minorEastAsia"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8"/>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styleId="MacroTextChar" w:customStyle="1">
    <w:name w:val="Macro Text Char"/>
    <w:basedOn w:val="DefaultParagraphFont"/>
    <w:link w:val="MacroText"/>
    <w:uiPriority w:val="98"/>
    <w:semiHidden/>
    <w:rsid w:val="00B12EF5"/>
    <w:rPr>
      <w:rFonts w:asciiTheme="minorHAnsi" w:hAnsiTheme="minorHAnsi" w:eastAsiaTheme="minorEastAsia" w:cstheme="minorBidi"/>
      <w:szCs w:val="24"/>
      <w:lang w:eastAsia="en-GB"/>
    </w:rPr>
  </w:style>
  <w:style w:type="table" w:styleId="MediumGrid1">
    <w:name w:val="Medium Grid 1"/>
    <w:basedOn w:val="TableNormal"/>
    <w:uiPriority w:val="98"/>
    <w:semiHidden/>
    <w:rsid w:val="00B12EF5"/>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single" w:color="E5E5E5" w:themeColor="accent1" w:themeTint="BF" w:sz="8" w:space="0"/>
        <w:insideV w:val="single" w:color="E5E5E5" w:themeColor="accent1" w:themeTint="BF" w:sz="8" w:space="0"/>
      </w:tblBorders>
    </w:tblPr>
    <w:tcPr>
      <w:shd w:val="clear" w:color="auto" w:fill="F6F6F6" w:themeFill="accent1" w:themeFillTint="3F"/>
    </w:tcPr>
    <w:tblStylePr w:type="firstRow">
      <w:rPr>
        <w:b/>
        <w:bCs/>
      </w:rPr>
    </w:tblStylePr>
    <w:tblStylePr w:type="lastRow">
      <w:rPr>
        <w:b/>
        <w:bCs/>
      </w:rPr>
      <w:tblPr/>
      <w:tcPr>
        <w:tcBorders>
          <w:top w:val="single" w:color="E5E5E5" w:themeColor="accent1" w:themeTint="BF" w:sz="18" w:space="0"/>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single" w:color="C5C5C5" w:themeColor="accent2" w:themeTint="BF" w:sz="8" w:space="0"/>
        <w:insideV w:val="single" w:color="C5C5C5" w:themeColor="accent2" w:themeTint="BF" w:sz="8" w:space="0"/>
      </w:tblBorders>
    </w:tblPr>
    <w:tcPr>
      <w:shd w:val="clear" w:color="auto" w:fill="EBEBEB" w:themeFill="accent2" w:themeFillTint="3F"/>
    </w:tcPr>
    <w:tblStylePr w:type="firstRow">
      <w:rPr>
        <w:b/>
        <w:bCs/>
      </w:rPr>
    </w:tblStylePr>
    <w:tblStylePr w:type="lastRow">
      <w:rPr>
        <w:b/>
        <w:bCs/>
      </w:rPr>
      <w:tblPr/>
      <w:tcPr>
        <w:tcBorders>
          <w:top w:val="single" w:color="C5C5C5" w:themeColor="accent2" w:themeTint="BF" w:sz="18" w:space="0"/>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single" w:color="B0B0B0" w:themeColor="accent3" w:themeTint="BF" w:sz="8" w:space="0"/>
        <w:insideV w:val="single" w:color="B0B0B0" w:themeColor="accent3" w:themeTint="BF" w:sz="8" w:space="0"/>
      </w:tblBorders>
    </w:tblPr>
    <w:tcPr>
      <w:shd w:val="clear" w:color="auto" w:fill="E5E5E5" w:themeFill="accent3" w:themeFillTint="3F"/>
    </w:tcPr>
    <w:tblStylePr w:type="firstRow">
      <w:rPr>
        <w:b/>
        <w:bCs/>
      </w:rPr>
    </w:tblStylePr>
    <w:tblStylePr w:type="lastRow">
      <w:rPr>
        <w:b/>
        <w:bCs/>
      </w:rPr>
      <w:tblPr/>
      <w:tcPr>
        <w:tcBorders>
          <w:top w:val="single" w:color="B0B0B0" w:themeColor="accent3" w:themeTint="BF" w:sz="18" w:space="0"/>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single" w:color="9F9F9F" w:themeColor="accent4" w:themeTint="BF" w:sz="8" w:space="0"/>
        <w:insideV w:val="single" w:color="9F9F9F" w:themeColor="accent4" w:themeTint="BF" w:sz="8" w:space="0"/>
      </w:tblBorders>
    </w:tblPr>
    <w:tcPr>
      <w:shd w:val="clear" w:color="auto" w:fill="DFDFDF" w:themeFill="accent4" w:themeFillTint="3F"/>
    </w:tcPr>
    <w:tblStylePr w:type="firstRow">
      <w:rPr>
        <w:b/>
        <w:bCs/>
      </w:rPr>
    </w:tblStylePr>
    <w:tblStylePr w:type="lastRow">
      <w:rPr>
        <w:b/>
        <w:bCs/>
      </w:rPr>
      <w:tblPr/>
      <w:tcPr>
        <w:tcBorders>
          <w:top w:val="single" w:color="9F9F9F" w:themeColor="accent4" w:themeTint="BF" w:sz="18" w:space="0"/>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single" w:color="878787" w:themeColor="accent5" w:themeTint="BF" w:sz="8" w:space="0"/>
        <w:insideV w:val="single" w:color="878787" w:themeColor="accent5" w:themeTint="BF" w:sz="8" w:space="0"/>
      </w:tblBorders>
    </w:tblPr>
    <w:tcPr>
      <w:shd w:val="clear" w:color="auto" w:fill="D7D7D7" w:themeFill="accent5" w:themeFillTint="3F"/>
    </w:tcPr>
    <w:tblStylePr w:type="firstRow">
      <w:rPr>
        <w:b/>
        <w:bCs/>
      </w:rPr>
    </w:tblStylePr>
    <w:tblStylePr w:type="lastRow">
      <w:rPr>
        <w:b/>
        <w:bCs/>
      </w:rPr>
      <w:tblPr/>
      <w:tcPr>
        <w:tcBorders>
          <w:top w:val="single" w:color="878787" w:themeColor="accent5" w:themeTint="BF" w:sz="18" w:space="0"/>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single" w:color="797979" w:themeColor="accent6" w:themeTint="BF" w:sz="8" w:space="0"/>
        <w:insideV w:val="single" w:color="797979" w:themeColor="accent6" w:themeTint="BF" w:sz="8" w:space="0"/>
      </w:tblBorders>
    </w:tblPr>
    <w:tcPr>
      <w:shd w:val="clear" w:color="auto" w:fill="D3D3D3" w:themeFill="accent6" w:themeFillTint="3F"/>
    </w:tcPr>
    <w:tblStylePr w:type="firstRow">
      <w:rPr>
        <w:b/>
        <w:bCs/>
      </w:rPr>
    </w:tblStylePr>
    <w:tblStylePr w:type="lastRow">
      <w:rPr>
        <w:b/>
        <w:bCs/>
      </w:rPr>
      <w:tblPr/>
      <w:tcPr>
        <w:tcBorders>
          <w:top w:val="single" w:color="797979" w:themeColor="accent6" w:themeTint="BF" w:sz="18" w:space="0"/>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semiHidden/>
    <w:rsid w:val="00B12EF5"/>
    <w:rPr>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rPr>
      <w:color w:val="000000" w:themeColor="text1"/>
    </w:rPr>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color="DDDDDD" w:themeColor="accent1" w:sz="6" w:space="0"/>
          <w:insideV w:val="single" w:color="DDDDDD" w:themeColor="accent1" w:sz="6" w:space="0"/>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rPr>
      <w:color w:val="000000" w:themeColor="text1"/>
    </w:rPr>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insideH w:val="single" w:color="B2B2B2" w:themeColor="accent2" w:sz="8" w:space="0"/>
        <w:insideV w:val="single" w:color="B2B2B2" w:themeColor="accent2" w:sz="8" w:space="0"/>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color="B2B2B2" w:themeColor="accent2" w:sz="6" w:space="0"/>
          <w:insideV w:val="single" w:color="B2B2B2" w:themeColor="accent2" w:sz="6" w:space="0"/>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rPr>
      <w:color w:val="000000" w:themeColor="text1"/>
    </w:rPr>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insideH w:val="single" w:color="969696" w:themeColor="accent3" w:sz="8" w:space="0"/>
        <w:insideV w:val="single" w:color="969696" w:themeColor="accent3" w:sz="8" w:space="0"/>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color="969696" w:themeColor="accent3" w:sz="6" w:space="0"/>
          <w:insideV w:val="single" w:color="969696" w:themeColor="accent3" w:sz="6" w:space="0"/>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rPr>
      <w:color w:val="000000" w:themeColor="text1"/>
    </w:rPr>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insideH w:val="single" w:color="808080" w:themeColor="accent4" w:sz="8" w:space="0"/>
        <w:insideV w:val="single" w:color="808080" w:themeColor="accent4" w:sz="8" w:space="0"/>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color="808080" w:themeColor="accent4" w:sz="6" w:space="0"/>
          <w:insideV w:val="single" w:color="808080" w:themeColor="accent4" w:sz="6" w:space="0"/>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rPr>
      <w:color w:val="000000" w:themeColor="text1"/>
    </w:rPr>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insideH w:val="single" w:color="5F5F5F" w:themeColor="accent5" w:sz="8" w:space="0"/>
        <w:insideV w:val="single" w:color="5F5F5F" w:themeColor="accent5" w:sz="8" w:space="0"/>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color="5F5F5F" w:themeColor="accent5" w:sz="6" w:space="0"/>
          <w:insideV w:val="single" w:color="5F5F5F" w:themeColor="accent5" w:sz="6" w:space="0"/>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rPr>
      <w:color w:val="000000" w:themeColor="text1"/>
    </w:rPr>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insideH w:val="single" w:color="4D4D4D" w:themeColor="accent6" w:sz="8" w:space="0"/>
        <w:insideV w:val="single" w:color="4D4D4D" w:themeColor="accent6" w:sz="8" w:space="0"/>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color="4D4D4D" w:themeColor="accent6" w:sz="6" w:space="0"/>
          <w:insideV w:val="single" w:color="4D4D4D" w:themeColor="accent6" w:sz="6" w:space="0"/>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6F6F6"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DDDDD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DDDDD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DDDDD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DDDDD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EEEEE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EEEEEE"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BEBEB"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B2B2B2"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B2B2B2"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B2B2B2"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B2B2B2"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8D8D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8D8D8"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5E5E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69696"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69696"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69696"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69696"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ACACA"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ACACA"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FDF"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8080"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8080"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8080"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808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FB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FBF"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7D7D7"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5F5F5F"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5F5F5F"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5F5F5F"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5F5F5F"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FAFAF"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FAFAF"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3D3"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D4D4D"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D4D4D"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D4D4D"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D4D4D"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6A6A6"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6A6A6" w:themeFill="accent6" w:themeFillTint="7F"/>
      </w:tcPr>
    </w:tblStylePr>
  </w:style>
  <w:style w:type="table" w:styleId="MediumList1">
    <w:name w:val="Medium List 1"/>
    <w:basedOn w:val="TableNormal"/>
    <w:uiPriority w:val="98"/>
    <w:semiHidden/>
    <w:rsid w:val="00B12EF5"/>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000000"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rPr>
      <w:color w:val="000000" w:themeColor="text1"/>
    </w:rPr>
    <w:tblPr>
      <w:tblStyleRowBandSize w:val="1"/>
      <w:tblStyleColBandSize w:val="1"/>
      <w:tblBorders>
        <w:top w:val="single" w:color="DDDDDD" w:themeColor="accent1" w:sz="8" w:space="0"/>
        <w:bottom w:val="single" w:color="DDDDDD" w:themeColor="accent1" w:sz="8" w:space="0"/>
      </w:tblBorders>
    </w:tblPr>
    <w:tblStylePr w:type="firstRow">
      <w:rPr>
        <w:rFonts w:asciiTheme="majorHAnsi" w:hAnsiTheme="majorHAnsi" w:eastAsiaTheme="majorEastAsia" w:cstheme="majorBidi"/>
      </w:rPr>
      <w:tblPr/>
      <w:tcPr>
        <w:tcBorders>
          <w:top w:val="nil"/>
          <w:bottom w:val="single" w:color="DDDDDD" w:themeColor="accent1" w:sz="8" w:space="0"/>
        </w:tcBorders>
      </w:tcPr>
    </w:tblStylePr>
    <w:tblStylePr w:type="lastRow">
      <w:rPr>
        <w:b/>
        <w:bCs/>
        <w:color w:val="000000" w:themeColor="text2"/>
      </w:rPr>
      <w:tblPr/>
      <w:tcPr>
        <w:tcBorders>
          <w:top w:val="single" w:color="DDDDDD" w:themeColor="accent1" w:sz="8" w:space="0"/>
          <w:bottom w:val="single" w:color="DDDDDD" w:themeColor="accent1" w:sz="8" w:space="0"/>
        </w:tcBorders>
      </w:tcPr>
    </w:tblStylePr>
    <w:tblStylePr w:type="firstCol">
      <w:rPr>
        <w:b/>
        <w:bCs/>
      </w:rPr>
    </w:tblStylePr>
    <w:tblStylePr w:type="lastCol">
      <w:rPr>
        <w:b/>
        <w:bCs/>
      </w:rPr>
      <w:tblPr/>
      <w:tcPr>
        <w:tcBorders>
          <w:top w:val="single" w:color="DDDDDD" w:themeColor="accent1" w:sz="8" w:space="0"/>
          <w:bottom w:val="single" w:color="DDDDDD" w:themeColor="accent1" w:sz="8" w:space="0"/>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semiHidden/>
    <w:rsid w:val="00B12EF5"/>
    <w:rPr>
      <w:color w:val="000000" w:themeColor="text1"/>
    </w:rPr>
    <w:tblPr>
      <w:tblStyleRowBandSize w:val="1"/>
      <w:tblStyleColBandSize w:val="1"/>
      <w:tblBorders>
        <w:top w:val="single" w:color="B2B2B2" w:themeColor="accent2" w:sz="8" w:space="0"/>
        <w:bottom w:val="single" w:color="B2B2B2" w:themeColor="accent2" w:sz="8" w:space="0"/>
      </w:tblBorders>
    </w:tblPr>
    <w:tblStylePr w:type="firstRow">
      <w:rPr>
        <w:rFonts w:asciiTheme="majorHAnsi" w:hAnsiTheme="majorHAnsi" w:eastAsiaTheme="majorEastAsia" w:cstheme="majorBidi"/>
      </w:rPr>
      <w:tblPr/>
      <w:tcPr>
        <w:tcBorders>
          <w:top w:val="nil"/>
          <w:bottom w:val="single" w:color="B2B2B2" w:themeColor="accent2" w:sz="8" w:space="0"/>
        </w:tcBorders>
      </w:tcPr>
    </w:tblStylePr>
    <w:tblStylePr w:type="lastRow">
      <w:rPr>
        <w:b/>
        <w:bCs/>
        <w:color w:val="000000" w:themeColor="text2"/>
      </w:rPr>
      <w:tblPr/>
      <w:tcPr>
        <w:tcBorders>
          <w:top w:val="single" w:color="B2B2B2" w:themeColor="accent2" w:sz="8" w:space="0"/>
          <w:bottom w:val="single" w:color="B2B2B2" w:themeColor="accent2" w:sz="8" w:space="0"/>
        </w:tcBorders>
      </w:tcPr>
    </w:tblStylePr>
    <w:tblStylePr w:type="firstCol">
      <w:rPr>
        <w:b/>
        <w:bCs/>
      </w:rPr>
    </w:tblStylePr>
    <w:tblStylePr w:type="lastCol">
      <w:rPr>
        <w:b/>
        <w:bCs/>
      </w:rPr>
      <w:tblPr/>
      <w:tcPr>
        <w:tcBorders>
          <w:top w:val="single" w:color="B2B2B2" w:themeColor="accent2" w:sz="8" w:space="0"/>
          <w:bottom w:val="single" w:color="B2B2B2" w:themeColor="accent2" w:sz="8" w:space="0"/>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semiHidden/>
    <w:rsid w:val="00B12EF5"/>
    <w:rPr>
      <w:color w:val="000000" w:themeColor="text1"/>
    </w:rPr>
    <w:tblPr>
      <w:tblStyleRowBandSize w:val="1"/>
      <w:tblStyleColBandSize w:val="1"/>
      <w:tblBorders>
        <w:top w:val="single" w:color="969696" w:themeColor="accent3" w:sz="8" w:space="0"/>
        <w:bottom w:val="single" w:color="969696" w:themeColor="accent3" w:sz="8" w:space="0"/>
      </w:tblBorders>
    </w:tblPr>
    <w:tblStylePr w:type="firstRow">
      <w:rPr>
        <w:rFonts w:asciiTheme="majorHAnsi" w:hAnsiTheme="majorHAnsi" w:eastAsiaTheme="majorEastAsia" w:cstheme="majorBidi"/>
      </w:rPr>
      <w:tblPr/>
      <w:tcPr>
        <w:tcBorders>
          <w:top w:val="nil"/>
          <w:bottom w:val="single" w:color="969696" w:themeColor="accent3" w:sz="8" w:space="0"/>
        </w:tcBorders>
      </w:tcPr>
    </w:tblStylePr>
    <w:tblStylePr w:type="lastRow">
      <w:rPr>
        <w:b/>
        <w:bCs/>
        <w:color w:val="000000" w:themeColor="text2"/>
      </w:rPr>
      <w:tblPr/>
      <w:tcPr>
        <w:tcBorders>
          <w:top w:val="single" w:color="969696" w:themeColor="accent3" w:sz="8" w:space="0"/>
          <w:bottom w:val="single" w:color="969696" w:themeColor="accent3" w:sz="8" w:space="0"/>
        </w:tcBorders>
      </w:tcPr>
    </w:tblStylePr>
    <w:tblStylePr w:type="firstCol">
      <w:rPr>
        <w:b/>
        <w:bCs/>
      </w:rPr>
    </w:tblStylePr>
    <w:tblStylePr w:type="lastCol">
      <w:rPr>
        <w:b/>
        <w:bCs/>
      </w:rPr>
      <w:tblPr/>
      <w:tcPr>
        <w:tcBorders>
          <w:top w:val="single" w:color="969696" w:themeColor="accent3" w:sz="8" w:space="0"/>
          <w:bottom w:val="single" w:color="969696" w:themeColor="accent3" w:sz="8" w:space="0"/>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semiHidden/>
    <w:rsid w:val="00B12EF5"/>
    <w:rPr>
      <w:color w:val="000000" w:themeColor="text1"/>
    </w:rPr>
    <w:tblPr>
      <w:tblStyleRowBandSize w:val="1"/>
      <w:tblStyleColBandSize w:val="1"/>
      <w:tblBorders>
        <w:top w:val="single" w:color="808080" w:themeColor="accent4" w:sz="8" w:space="0"/>
        <w:bottom w:val="single" w:color="808080" w:themeColor="accent4" w:sz="8" w:space="0"/>
      </w:tblBorders>
    </w:tblPr>
    <w:tblStylePr w:type="firstRow">
      <w:rPr>
        <w:rFonts w:asciiTheme="majorHAnsi" w:hAnsiTheme="majorHAnsi" w:eastAsiaTheme="majorEastAsia" w:cstheme="majorBidi"/>
      </w:rPr>
      <w:tblPr/>
      <w:tcPr>
        <w:tcBorders>
          <w:top w:val="nil"/>
          <w:bottom w:val="single" w:color="808080" w:themeColor="accent4" w:sz="8" w:space="0"/>
        </w:tcBorders>
      </w:tcPr>
    </w:tblStylePr>
    <w:tblStylePr w:type="lastRow">
      <w:rPr>
        <w:b/>
        <w:bCs/>
        <w:color w:val="000000" w:themeColor="text2"/>
      </w:rPr>
      <w:tblPr/>
      <w:tcPr>
        <w:tcBorders>
          <w:top w:val="single" w:color="808080" w:themeColor="accent4" w:sz="8" w:space="0"/>
          <w:bottom w:val="single" w:color="808080" w:themeColor="accent4" w:sz="8" w:space="0"/>
        </w:tcBorders>
      </w:tcPr>
    </w:tblStylePr>
    <w:tblStylePr w:type="firstCol">
      <w:rPr>
        <w:b/>
        <w:bCs/>
      </w:rPr>
    </w:tblStylePr>
    <w:tblStylePr w:type="lastCol">
      <w:rPr>
        <w:b/>
        <w:bCs/>
      </w:rPr>
      <w:tblPr/>
      <w:tcPr>
        <w:tcBorders>
          <w:top w:val="single" w:color="808080" w:themeColor="accent4" w:sz="8" w:space="0"/>
          <w:bottom w:val="single" w:color="808080" w:themeColor="accent4" w:sz="8" w:space="0"/>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semiHidden/>
    <w:rsid w:val="00B12EF5"/>
    <w:rPr>
      <w:color w:val="000000" w:themeColor="text1"/>
    </w:rPr>
    <w:tblPr>
      <w:tblStyleRowBandSize w:val="1"/>
      <w:tblStyleColBandSize w:val="1"/>
      <w:tblBorders>
        <w:top w:val="single" w:color="5F5F5F" w:themeColor="accent5" w:sz="8" w:space="0"/>
        <w:bottom w:val="single" w:color="5F5F5F" w:themeColor="accent5" w:sz="8" w:space="0"/>
      </w:tblBorders>
    </w:tblPr>
    <w:tblStylePr w:type="firstRow">
      <w:rPr>
        <w:rFonts w:asciiTheme="majorHAnsi" w:hAnsiTheme="majorHAnsi" w:eastAsiaTheme="majorEastAsia" w:cstheme="majorBidi"/>
      </w:rPr>
      <w:tblPr/>
      <w:tcPr>
        <w:tcBorders>
          <w:top w:val="nil"/>
          <w:bottom w:val="single" w:color="5F5F5F" w:themeColor="accent5" w:sz="8" w:space="0"/>
        </w:tcBorders>
      </w:tcPr>
    </w:tblStylePr>
    <w:tblStylePr w:type="lastRow">
      <w:rPr>
        <w:b/>
        <w:bCs/>
        <w:color w:val="000000" w:themeColor="text2"/>
      </w:rPr>
      <w:tblPr/>
      <w:tcPr>
        <w:tcBorders>
          <w:top w:val="single" w:color="5F5F5F" w:themeColor="accent5" w:sz="8" w:space="0"/>
          <w:bottom w:val="single" w:color="5F5F5F" w:themeColor="accent5" w:sz="8" w:space="0"/>
        </w:tcBorders>
      </w:tcPr>
    </w:tblStylePr>
    <w:tblStylePr w:type="firstCol">
      <w:rPr>
        <w:b/>
        <w:bCs/>
      </w:rPr>
    </w:tblStylePr>
    <w:tblStylePr w:type="lastCol">
      <w:rPr>
        <w:b/>
        <w:bCs/>
      </w:rPr>
      <w:tblPr/>
      <w:tcPr>
        <w:tcBorders>
          <w:top w:val="single" w:color="5F5F5F" w:themeColor="accent5" w:sz="8" w:space="0"/>
          <w:bottom w:val="single" w:color="5F5F5F" w:themeColor="accent5" w:sz="8" w:space="0"/>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semiHidden/>
    <w:rsid w:val="00B12EF5"/>
    <w:rPr>
      <w:color w:val="000000" w:themeColor="text1"/>
    </w:rPr>
    <w:tblPr>
      <w:tblStyleRowBandSize w:val="1"/>
      <w:tblStyleColBandSize w:val="1"/>
      <w:tblBorders>
        <w:top w:val="single" w:color="4D4D4D" w:themeColor="accent6" w:sz="8" w:space="0"/>
        <w:bottom w:val="single" w:color="4D4D4D" w:themeColor="accent6" w:sz="8" w:space="0"/>
      </w:tblBorders>
    </w:tblPr>
    <w:tblStylePr w:type="firstRow">
      <w:rPr>
        <w:rFonts w:asciiTheme="majorHAnsi" w:hAnsiTheme="majorHAnsi" w:eastAsiaTheme="majorEastAsia" w:cstheme="majorBidi"/>
      </w:rPr>
      <w:tblPr/>
      <w:tcPr>
        <w:tcBorders>
          <w:top w:val="nil"/>
          <w:bottom w:val="single" w:color="4D4D4D" w:themeColor="accent6" w:sz="8" w:space="0"/>
        </w:tcBorders>
      </w:tcPr>
    </w:tblStylePr>
    <w:tblStylePr w:type="lastRow">
      <w:rPr>
        <w:b/>
        <w:bCs/>
        <w:color w:val="000000" w:themeColor="text2"/>
      </w:rPr>
      <w:tblPr/>
      <w:tcPr>
        <w:tcBorders>
          <w:top w:val="single" w:color="4D4D4D" w:themeColor="accent6" w:sz="8" w:space="0"/>
          <w:bottom w:val="single" w:color="4D4D4D" w:themeColor="accent6" w:sz="8" w:space="0"/>
        </w:tcBorders>
      </w:tcPr>
    </w:tblStylePr>
    <w:tblStylePr w:type="firstCol">
      <w:rPr>
        <w:b/>
        <w:bCs/>
      </w:rPr>
    </w:tblStylePr>
    <w:tblStylePr w:type="lastCol">
      <w:rPr>
        <w:b/>
        <w:bCs/>
      </w:rPr>
      <w:tblPr/>
      <w:tcPr>
        <w:tcBorders>
          <w:top w:val="single" w:color="4D4D4D" w:themeColor="accent6" w:sz="8" w:space="0"/>
          <w:bottom w:val="single" w:color="4D4D4D" w:themeColor="accent6" w:sz="8" w:space="0"/>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semiHidden/>
    <w:rsid w:val="00B12EF5"/>
    <w:rPr>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rPr>
      <w:color w:val="000000" w:themeColor="text1"/>
    </w:rPr>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tblBorders>
    </w:tblPr>
    <w:tblStylePr w:type="firstRow">
      <w:rPr>
        <w:sz w:val="24"/>
        <w:szCs w:val="24"/>
      </w:rPr>
      <w:tblPr/>
      <w:tcPr>
        <w:tcBorders>
          <w:top w:val="nil"/>
          <w:left w:val="nil"/>
          <w:bottom w:val="single" w:color="DDDDDD" w:themeColor="accent1" w:sz="24" w:space="0"/>
          <w:right w:val="nil"/>
          <w:insideH w:val="nil"/>
          <w:insideV w:val="nil"/>
        </w:tcBorders>
        <w:shd w:val="clear" w:color="auto" w:fill="FFFFFF" w:themeFill="background1"/>
      </w:tcPr>
    </w:tblStylePr>
    <w:tblStylePr w:type="lastRow">
      <w:tblPr/>
      <w:tcPr>
        <w:tcBorders>
          <w:top w:val="single" w:color="DDDDD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DDDDDD" w:themeColor="accent1" w:sz="8" w:space="0"/>
          <w:insideH w:val="nil"/>
          <w:insideV w:val="nil"/>
        </w:tcBorders>
        <w:shd w:val="clear" w:color="auto" w:fill="FFFFFF" w:themeFill="background1"/>
      </w:tcPr>
    </w:tblStylePr>
    <w:tblStylePr w:type="lastCol">
      <w:tblPr/>
      <w:tcPr>
        <w:tcBorders>
          <w:top w:val="nil"/>
          <w:left w:val="single" w:color="DDDDD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rPr>
      <w:color w:val="000000" w:themeColor="text1"/>
    </w:rPr>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tblBorders>
    </w:tblPr>
    <w:tblStylePr w:type="firstRow">
      <w:rPr>
        <w:sz w:val="24"/>
        <w:szCs w:val="24"/>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tblPr/>
      <w:tcPr>
        <w:tcBorders>
          <w:top w:val="single" w:color="B2B2B2"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B2B2B2" w:themeColor="accent2" w:sz="8" w:space="0"/>
          <w:insideH w:val="nil"/>
          <w:insideV w:val="nil"/>
        </w:tcBorders>
        <w:shd w:val="clear" w:color="auto" w:fill="FFFFFF" w:themeFill="background1"/>
      </w:tcPr>
    </w:tblStylePr>
    <w:tblStylePr w:type="lastCol">
      <w:tblPr/>
      <w:tcPr>
        <w:tcBorders>
          <w:top w:val="nil"/>
          <w:left w:val="single" w:color="B2B2B2"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rPr>
      <w:color w:val="000000" w:themeColor="text1"/>
    </w:rPr>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tblBorders>
    </w:tblPr>
    <w:tblStylePr w:type="firstRow">
      <w:rPr>
        <w:sz w:val="24"/>
        <w:szCs w:val="24"/>
      </w:rPr>
      <w:tblPr/>
      <w:tcPr>
        <w:tcBorders>
          <w:top w:val="nil"/>
          <w:left w:val="nil"/>
          <w:bottom w:val="single" w:color="969696" w:themeColor="accent3" w:sz="24" w:space="0"/>
          <w:right w:val="nil"/>
          <w:insideH w:val="nil"/>
          <w:insideV w:val="nil"/>
        </w:tcBorders>
        <w:shd w:val="clear" w:color="auto" w:fill="FFFFFF" w:themeFill="background1"/>
      </w:tcPr>
    </w:tblStylePr>
    <w:tblStylePr w:type="lastRow">
      <w:tblPr/>
      <w:tcPr>
        <w:tcBorders>
          <w:top w:val="single" w:color="969696"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69696" w:themeColor="accent3" w:sz="8" w:space="0"/>
          <w:insideH w:val="nil"/>
          <w:insideV w:val="nil"/>
        </w:tcBorders>
        <w:shd w:val="clear" w:color="auto" w:fill="FFFFFF" w:themeFill="background1"/>
      </w:tcPr>
    </w:tblStylePr>
    <w:tblStylePr w:type="lastCol">
      <w:tblPr/>
      <w:tcPr>
        <w:tcBorders>
          <w:top w:val="nil"/>
          <w:left w:val="single" w:color="969696"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rPr>
      <w:color w:val="000000" w:themeColor="text1"/>
    </w:rPr>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tblBorders>
    </w:tblPr>
    <w:tblStylePr w:type="firstRow">
      <w:rPr>
        <w:sz w:val="24"/>
        <w:szCs w:val="24"/>
      </w:rPr>
      <w:tblPr/>
      <w:tcPr>
        <w:tcBorders>
          <w:top w:val="nil"/>
          <w:left w:val="nil"/>
          <w:bottom w:val="single" w:color="808080" w:themeColor="accent4" w:sz="24" w:space="0"/>
          <w:right w:val="nil"/>
          <w:insideH w:val="nil"/>
          <w:insideV w:val="nil"/>
        </w:tcBorders>
        <w:shd w:val="clear" w:color="auto" w:fill="FFFFFF" w:themeFill="background1"/>
      </w:tcPr>
    </w:tblStylePr>
    <w:tblStylePr w:type="lastRow">
      <w:tblPr/>
      <w:tcPr>
        <w:tcBorders>
          <w:top w:val="single" w:color="80808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8080" w:themeColor="accent4" w:sz="8" w:space="0"/>
          <w:insideH w:val="nil"/>
          <w:insideV w:val="nil"/>
        </w:tcBorders>
        <w:shd w:val="clear" w:color="auto" w:fill="FFFFFF" w:themeFill="background1"/>
      </w:tcPr>
    </w:tblStylePr>
    <w:tblStylePr w:type="lastCol">
      <w:tblPr/>
      <w:tcPr>
        <w:tcBorders>
          <w:top w:val="nil"/>
          <w:left w:val="single" w:color="80808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rPr>
      <w:color w:val="000000" w:themeColor="text1"/>
    </w:rPr>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tblBorders>
    </w:tblPr>
    <w:tblStylePr w:type="firstRow">
      <w:rPr>
        <w:sz w:val="24"/>
        <w:szCs w:val="24"/>
      </w:rPr>
      <w:tblPr/>
      <w:tcPr>
        <w:tcBorders>
          <w:top w:val="nil"/>
          <w:left w:val="nil"/>
          <w:bottom w:val="single" w:color="5F5F5F" w:themeColor="accent5" w:sz="24" w:space="0"/>
          <w:right w:val="nil"/>
          <w:insideH w:val="nil"/>
          <w:insideV w:val="nil"/>
        </w:tcBorders>
        <w:shd w:val="clear" w:color="auto" w:fill="FFFFFF" w:themeFill="background1"/>
      </w:tcPr>
    </w:tblStylePr>
    <w:tblStylePr w:type="lastRow">
      <w:tblPr/>
      <w:tcPr>
        <w:tcBorders>
          <w:top w:val="single" w:color="5F5F5F"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F5F5F" w:themeColor="accent5" w:sz="8" w:space="0"/>
          <w:insideH w:val="nil"/>
          <w:insideV w:val="nil"/>
        </w:tcBorders>
        <w:shd w:val="clear" w:color="auto" w:fill="FFFFFF" w:themeFill="background1"/>
      </w:tcPr>
    </w:tblStylePr>
    <w:tblStylePr w:type="lastCol">
      <w:tblPr/>
      <w:tcPr>
        <w:tcBorders>
          <w:top w:val="nil"/>
          <w:left w:val="single" w:color="5F5F5F"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rPr>
      <w:color w:val="000000" w:themeColor="text1"/>
    </w:rPr>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tblBorders>
    </w:tblPr>
    <w:tblStylePr w:type="firstRow">
      <w:rPr>
        <w:sz w:val="24"/>
        <w:szCs w:val="24"/>
      </w:rPr>
      <w:tblPr/>
      <w:tcPr>
        <w:tcBorders>
          <w:top w:val="nil"/>
          <w:left w:val="nil"/>
          <w:bottom w:val="single" w:color="4D4D4D" w:themeColor="accent6" w:sz="24" w:space="0"/>
          <w:right w:val="nil"/>
          <w:insideH w:val="nil"/>
          <w:insideV w:val="nil"/>
        </w:tcBorders>
        <w:shd w:val="clear" w:color="auto" w:fill="FFFFFF" w:themeFill="background1"/>
      </w:tcPr>
    </w:tblStylePr>
    <w:tblStylePr w:type="lastRow">
      <w:tblPr/>
      <w:tcPr>
        <w:tcBorders>
          <w:top w:val="single" w:color="4D4D4D"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D4D4D" w:themeColor="accent6" w:sz="8" w:space="0"/>
          <w:insideH w:val="nil"/>
          <w:insideV w:val="nil"/>
        </w:tcBorders>
        <w:shd w:val="clear" w:color="auto" w:fill="FFFFFF" w:themeFill="background1"/>
      </w:tcPr>
    </w:tblStylePr>
    <w:tblStylePr w:type="lastCol">
      <w:tblPr/>
      <w:tcPr>
        <w:tcBorders>
          <w:top w:val="nil"/>
          <w:left w:val="single" w:color="4D4D4D"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single" w:color="E5E5E5" w:themeColor="accent1" w:themeTint="BF" w:sz="8" w:space="0"/>
      </w:tblBorders>
    </w:tblPr>
    <w:tblStylePr w:type="firstRow">
      <w:pPr>
        <w:spacing w:before="0" w:after="0" w:line="240" w:lineRule="auto"/>
      </w:pPr>
      <w:rPr>
        <w:b/>
        <w:bCs/>
        <w:color w:val="FFFFFF" w:themeColor="background1"/>
      </w:rPr>
      <w:tblPr/>
      <w:tcPr>
        <w:tc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nil"/>
          <w:insideV w:val="nil"/>
        </w:tcBorders>
        <w:shd w:val="clear" w:color="auto" w:fill="DDDDDD" w:themeFill="accent1"/>
      </w:tcPr>
    </w:tblStylePr>
    <w:tblStylePr w:type="lastRow">
      <w:pPr>
        <w:spacing w:before="0" w:after="0" w:line="240" w:lineRule="auto"/>
      </w:pPr>
      <w:rPr>
        <w:b/>
        <w:bCs/>
      </w:rPr>
      <w:tblPr/>
      <w:tcPr>
        <w:tcBorders>
          <w:top w:val="double" w:color="E5E5E5" w:themeColor="accent1" w:themeTint="BF" w:sz="6" w:space="0"/>
          <w:left w:val="single" w:color="E5E5E5" w:themeColor="accent1" w:themeTint="BF" w:sz="8" w:space="0"/>
          <w:bottom w:val="single" w:color="E5E5E5" w:themeColor="accent1" w:themeTint="BF" w:sz="8" w:space="0"/>
          <w:right w:val="single" w:color="E5E5E5"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single" w:color="C5C5C5" w:themeColor="accent2" w:themeTint="BF" w:sz="8" w:space="0"/>
      </w:tblBorders>
    </w:tblPr>
    <w:tblStylePr w:type="firstRow">
      <w:pPr>
        <w:spacing w:before="0" w:after="0" w:line="240" w:lineRule="auto"/>
      </w:pPr>
      <w:rPr>
        <w:b/>
        <w:bCs/>
        <w:color w:val="FFFFFF" w:themeColor="background1"/>
      </w:rPr>
      <w:tblPr/>
      <w:tcPr>
        <w:tc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nil"/>
          <w:insideV w:val="nil"/>
        </w:tcBorders>
        <w:shd w:val="clear" w:color="auto" w:fill="B2B2B2" w:themeFill="accent2"/>
      </w:tcPr>
    </w:tblStylePr>
    <w:tblStylePr w:type="lastRow">
      <w:pPr>
        <w:spacing w:before="0" w:after="0" w:line="240" w:lineRule="auto"/>
      </w:pPr>
      <w:rPr>
        <w:b/>
        <w:bCs/>
      </w:rPr>
      <w:tblPr/>
      <w:tcPr>
        <w:tcBorders>
          <w:top w:val="double" w:color="C5C5C5" w:themeColor="accent2" w:themeTint="BF" w:sz="6" w:space="0"/>
          <w:left w:val="single" w:color="C5C5C5" w:themeColor="accent2" w:themeTint="BF" w:sz="8" w:space="0"/>
          <w:bottom w:val="single" w:color="C5C5C5" w:themeColor="accent2" w:themeTint="BF" w:sz="8" w:space="0"/>
          <w:right w:val="single" w:color="C5C5C5"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single" w:color="B0B0B0" w:themeColor="accent3" w:themeTint="BF" w:sz="8" w:space="0"/>
      </w:tblBorders>
    </w:tblPr>
    <w:tblStylePr w:type="firstRow">
      <w:pPr>
        <w:spacing w:before="0" w:after="0" w:line="240" w:lineRule="auto"/>
      </w:pPr>
      <w:rPr>
        <w:b/>
        <w:bCs/>
        <w:color w:val="FFFFFF" w:themeColor="background1"/>
      </w:rPr>
      <w:tblPr/>
      <w:tcPr>
        <w:tc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nil"/>
          <w:insideV w:val="nil"/>
        </w:tcBorders>
        <w:shd w:val="clear" w:color="auto" w:fill="969696" w:themeFill="accent3"/>
      </w:tcPr>
    </w:tblStylePr>
    <w:tblStylePr w:type="lastRow">
      <w:pPr>
        <w:spacing w:before="0" w:after="0" w:line="240" w:lineRule="auto"/>
      </w:pPr>
      <w:rPr>
        <w:b/>
        <w:bCs/>
      </w:rPr>
      <w:tblPr/>
      <w:tcPr>
        <w:tcBorders>
          <w:top w:val="double" w:color="B0B0B0" w:themeColor="accent3" w:themeTint="BF" w:sz="6" w:space="0"/>
          <w:left w:val="single" w:color="B0B0B0" w:themeColor="accent3" w:themeTint="BF" w:sz="8" w:space="0"/>
          <w:bottom w:val="single" w:color="B0B0B0" w:themeColor="accent3" w:themeTint="BF" w:sz="8" w:space="0"/>
          <w:right w:val="single" w:color="B0B0B0"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single" w:color="9F9F9F" w:themeColor="accent4" w:themeTint="BF" w:sz="8" w:space="0"/>
      </w:tblBorders>
    </w:tblPr>
    <w:tblStylePr w:type="firstRow">
      <w:pPr>
        <w:spacing w:before="0" w:after="0" w:line="240" w:lineRule="auto"/>
      </w:pPr>
      <w:rPr>
        <w:b/>
        <w:bCs/>
        <w:color w:val="FFFFFF" w:themeColor="background1"/>
      </w:rPr>
      <w:tblPr/>
      <w:tcPr>
        <w:tc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nil"/>
          <w:insideV w:val="nil"/>
        </w:tcBorders>
        <w:shd w:val="clear" w:color="auto" w:fill="808080" w:themeFill="accent4"/>
      </w:tcPr>
    </w:tblStylePr>
    <w:tblStylePr w:type="lastRow">
      <w:pPr>
        <w:spacing w:before="0" w:after="0" w:line="240" w:lineRule="auto"/>
      </w:pPr>
      <w:rPr>
        <w:b/>
        <w:bCs/>
      </w:rPr>
      <w:tblPr/>
      <w:tcPr>
        <w:tcBorders>
          <w:top w:val="double" w:color="9F9F9F" w:themeColor="accent4" w:themeTint="BF" w:sz="6" w:space="0"/>
          <w:left w:val="single" w:color="9F9F9F" w:themeColor="accent4" w:themeTint="BF" w:sz="8" w:space="0"/>
          <w:bottom w:val="single" w:color="9F9F9F" w:themeColor="accent4" w:themeTint="BF" w:sz="8" w:space="0"/>
          <w:right w:val="single" w:color="9F9F9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single" w:color="878787" w:themeColor="accent5" w:themeTint="BF" w:sz="8" w:space="0"/>
      </w:tblBorders>
    </w:tblPr>
    <w:tblStylePr w:type="firstRow">
      <w:pPr>
        <w:spacing w:before="0" w:after="0" w:line="240" w:lineRule="auto"/>
      </w:pPr>
      <w:rPr>
        <w:b/>
        <w:bCs/>
        <w:color w:val="FFFFFF" w:themeColor="background1"/>
      </w:rPr>
      <w:tblPr/>
      <w:tcPr>
        <w:tc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nil"/>
          <w:insideV w:val="nil"/>
        </w:tcBorders>
        <w:shd w:val="clear" w:color="auto" w:fill="5F5F5F" w:themeFill="accent5"/>
      </w:tcPr>
    </w:tblStylePr>
    <w:tblStylePr w:type="lastRow">
      <w:pPr>
        <w:spacing w:before="0" w:after="0" w:line="240" w:lineRule="auto"/>
      </w:pPr>
      <w:rPr>
        <w:b/>
        <w:bCs/>
      </w:rPr>
      <w:tblPr/>
      <w:tcPr>
        <w:tcBorders>
          <w:top w:val="double" w:color="878787" w:themeColor="accent5" w:themeTint="BF" w:sz="6" w:space="0"/>
          <w:left w:val="single" w:color="878787" w:themeColor="accent5" w:themeTint="BF" w:sz="8" w:space="0"/>
          <w:bottom w:val="single" w:color="878787" w:themeColor="accent5" w:themeTint="BF" w:sz="8" w:space="0"/>
          <w:right w:val="single" w:color="878787"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single" w:color="797979" w:themeColor="accent6" w:themeTint="BF" w:sz="8" w:space="0"/>
      </w:tblBorders>
    </w:tblPr>
    <w:tblStylePr w:type="firstRow">
      <w:pPr>
        <w:spacing w:before="0" w:after="0" w:line="240" w:lineRule="auto"/>
      </w:pPr>
      <w:rPr>
        <w:b/>
        <w:bCs/>
        <w:color w:val="FFFFFF" w:themeColor="background1"/>
      </w:rPr>
      <w:tblPr/>
      <w:tcPr>
        <w:tc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nil"/>
          <w:insideV w:val="nil"/>
        </w:tcBorders>
        <w:shd w:val="clear" w:color="auto" w:fill="4D4D4D" w:themeFill="accent6"/>
      </w:tcPr>
    </w:tblStylePr>
    <w:tblStylePr w:type="lastRow">
      <w:pPr>
        <w:spacing w:before="0" w:after="0" w:line="240" w:lineRule="auto"/>
      </w:pPr>
      <w:rPr>
        <w:b/>
        <w:bCs/>
      </w:rPr>
      <w:tblPr/>
      <w:tcPr>
        <w:tcBorders>
          <w:top w:val="double" w:color="797979" w:themeColor="accent6" w:themeTint="BF" w:sz="6" w:space="0"/>
          <w:left w:val="single" w:color="797979" w:themeColor="accent6" w:themeTint="BF" w:sz="8" w:space="0"/>
          <w:bottom w:val="single" w:color="797979" w:themeColor="accent6" w:themeTint="BF" w:sz="8" w:space="0"/>
          <w:right w:val="single" w:color="797979"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8"/>
    <w:rsid w:val="00B12EF5"/>
    <w:pPr>
      <w:pBdr>
        <w:top w:val="single" w:color="auto" w:sz="6" w:space="1"/>
        <w:left w:val="single" w:color="auto" w:sz="6" w:space="1"/>
        <w:bottom w:val="single" w:color="auto" w:sz="6" w:space="1"/>
        <w:right w:val="single" w:color="auto" w:sz="6" w:space="1"/>
      </w:pBdr>
      <w:shd w:val="pct20" w:color="auto" w:fill="auto"/>
      <w:spacing w:line="240" w:lineRule="auto"/>
      <w:ind w:left="1134" w:hanging="1134"/>
    </w:pPr>
    <w:rPr>
      <w:sz w:val="24"/>
      <w:szCs w:val="30"/>
    </w:rPr>
  </w:style>
  <w:style w:type="character" w:styleId="MessageHeaderChar" w:customStyle="1">
    <w:name w:val="Message Header Char"/>
    <w:basedOn w:val="DefaultParagraphFont"/>
    <w:link w:val="MessageHeader"/>
    <w:uiPriority w:val="98"/>
    <w:rsid w:val="00B12EF5"/>
    <w:rPr>
      <w:rFonts w:asciiTheme="minorHAnsi" w:hAnsiTheme="minorHAnsi" w:eastAsiaTheme="minorEastAsia" w:cstheme="minorBidi"/>
      <w:sz w:val="24"/>
      <w:szCs w:val="30"/>
      <w:shd w:val="pct20" w:color="auto" w:fill="auto"/>
    </w:rPr>
  </w:style>
  <w:style w:type="paragraph" w:styleId="NoSpacing">
    <w:name w:val="No Spacing"/>
    <w:uiPriority w:val="98"/>
    <w:semiHidden/>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1" w:customStyle="1">
    <w:name w:val="Note Heading1"/>
    <w:basedOn w:val="Normal"/>
    <w:next w:val="Normal"/>
    <w:link w:val="NoteHeadingChar"/>
    <w:uiPriority w:val="98"/>
    <w:semiHidden/>
    <w:rsid w:val="00B12EF5"/>
    <w:pPr>
      <w:spacing w:line="240" w:lineRule="auto"/>
    </w:pPr>
  </w:style>
  <w:style w:type="character" w:styleId="NoteHeadingChar" w:customStyle="1">
    <w:name w:val="Note Heading Char"/>
    <w:basedOn w:val="DefaultParagraphFont"/>
    <w:link w:val="NoteHeading1"/>
    <w:uiPriority w:val="98"/>
    <w:semiHidden/>
    <w:rsid w:val="00B12EF5"/>
    <w:rPr>
      <w:rFonts w:asciiTheme="minorHAnsi" w:hAnsiTheme="minorHAnsi" w:eastAsiaTheme="minorEastAsia" w:cstheme="minorBidi"/>
      <w:szCs w:val="24"/>
    </w:rPr>
  </w:style>
  <w:style w:type="character" w:styleId="PageNumber">
    <w:name w:val="page number"/>
    <w:basedOn w:val="DefaultParagraphFont"/>
    <w:uiPriority w:val="98"/>
    <w:rsid w:val="00B12EF5"/>
    <w:rPr>
      <w:rFonts w:asciiTheme="minorHAnsi" w:hAnsiTheme="minorHAnsi" w:eastAsiaTheme="minorEastAsia" w:cstheme="minorBidi"/>
      <w:sz w:val="18"/>
      <w:szCs w:val="24"/>
    </w:rPr>
  </w:style>
  <w:style w:type="character" w:styleId="PlaceholderText">
    <w:name w:val="Placeholder Text"/>
    <w:basedOn w:val="DefaultParagraphFont"/>
    <w:uiPriority w:val="98"/>
    <w:semiHidden/>
    <w:rsid w:val="00B12EF5"/>
    <w:rPr>
      <w:rFonts w:asciiTheme="minorHAnsi" w:hAnsiTheme="minorHAnsi" w:eastAsiaTheme="minorEastAsia"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styleId="PlainTextChar" w:customStyle="1">
    <w:name w:val="Plain Text Char"/>
    <w:basedOn w:val="DefaultParagraphFont"/>
    <w:link w:val="PlainText"/>
    <w:uiPriority w:val="98"/>
    <w:semiHidden/>
    <w:rsid w:val="00B12EF5"/>
    <w:rPr>
      <w:rFonts w:asciiTheme="minorHAnsi" w:hAnsiTheme="minorHAnsi" w:eastAsiaTheme="minorEastAsia" w:cstheme="minorBidi"/>
      <w:sz w:val="21"/>
      <w:szCs w:val="26"/>
    </w:rPr>
  </w:style>
  <w:style w:type="paragraph" w:styleId="Quote">
    <w:name w:val="Quote"/>
    <w:basedOn w:val="Normal"/>
    <w:next w:val="Normal"/>
    <w:link w:val="QuoteChar"/>
    <w:uiPriority w:val="98"/>
    <w:semiHidden/>
    <w:rsid w:val="00B12EF5"/>
    <w:rPr>
      <w:i/>
      <w:iCs/>
      <w:color w:val="000000" w:themeColor="text1"/>
    </w:rPr>
  </w:style>
  <w:style w:type="character" w:styleId="QuoteChar" w:customStyle="1">
    <w:name w:val="Quote Char"/>
    <w:basedOn w:val="DefaultParagraphFont"/>
    <w:link w:val="Quote"/>
    <w:uiPriority w:val="98"/>
    <w:semiHidden/>
    <w:rsid w:val="00B12EF5"/>
    <w:rPr>
      <w:rFonts w:asciiTheme="minorHAnsi" w:hAnsiTheme="minorHAnsi" w:eastAsiaTheme="minorEastAsia" w:cstheme="minorBidi"/>
      <w:i/>
      <w:iCs/>
      <w:color w:val="000000" w:themeColor="text1"/>
      <w:szCs w:val="24"/>
    </w:rPr>
  </w:style>
  <w:style w:type="paragraph" w:styleId="Salutation">
    <w:name w:val="Salutation"/>
    <w:basedOn w:val="Normal"/>
    <w:next w:val="Normal"/>
    <w:link w:val="SalutationChar"/>
    <w:uiPriority w:val="98"/>
    <w:semiHidden/>
    <w:rsid w:val="00B12EF5"/>
  </w:style>
  <w:style w:type="character" w:styleId="SalutationChar" w:customStyle="1">
    <w:name w:val="Salutation Char"/>
    <w:basedOn w:val="DefaultParagraphFont"/>
    <w:link w:val="Salutation"/>
    <w:uiPriority w:val="98"/>
    <w:semiHidden/>
    <w:rsid w:val="00B12EF5"/>
    <w:rPr>
      <w:rFonts w:asciiTheme="minorHAnsi" w:hAnsiTheme="minorHAnsi" w:eastAsiaTheme="minorEastAsia" w:cstheme="minorBidi"/>
      <w:szCs w:val="24"/>
    </w:rPr>
  </w:style>
  <w:style w:type="paragraph" w:styleId="Signature">
    <w:name w:val="Signature"/>
    <w:basedOn w:val="Normal"/>
    <w:link w:val="SignatureChar"/>
    <w:uiPriority w:val="98"/>
    <w:semiHidden/>
    <w:rsid w:val="00B12EF5"/>
    <w:pPr>
      <w:spacing w:line="240" w:lineRule="auto"/>
      <w:ind w:left="4252"/>
    </w:pPr>
  </w:style>
  <w:style w:type="character" w:styleId="SignatureChar" w:customStyle="1">
    <w:name w:val="Signature Char"/>
    <w:basedOn w:val="DefaultParagraphFont"/>
    <w:link w:val="Signature"/>
    <w:uiPriority w:val="98"/>
    <w:semiHidden/>
    <w:rsid w:val="00B12EF5"/>
    <w:rPr>
      <w:rFonts w:asciiTheme="minorHAnsi" w:hAnsiTheme="minorHAnsi" w:eastAsiaTheme="minorEastAsia" w:cstheme="minorBidi"/>
      <w:szCs w:val="24"/>
    </w:rPr>
  </w:style>
  <w:style w:type="character" w:styleId="Strong">
    <w:name w:val="Strong"/>
    <w:basedOn w:val="DefaultParagraphFont"/>
    <w:uiPriority w:val="98"/>
    <w:semiHidden/>
    <w:rsid w:val="00B12EF5"/>
    <w:rPr>
      <w:rFonts w:asciiTheme="minorHAnsi" w:hAnsiTheme="minorHAnsi" w:eastAsiaTheme="minorEastAsia" w:cstheme="minorBidi"/>
      <w:b/>
      <w:bCs/>
      <w:szCs w:val="24"/>
    </w:rPr>
  </w:style>
  <w:style w:type="paragraph" w:styleId="Subtitle">
    <w:name w:val="Subtitle"/>
    <w:basedOn w:val="Normal"/>
    <w:next w:val="Normal"/>
    <w:link w:val="SubtitleChar"/>
    <w:uiPriority w:val="98"/>
    <w:semiHidden/>
    <w:rsid w:val="00B12EF5"/>
    <w:pPr>
      <w:numPr>
        <w:ilvl w:val="1"/>
      </w:numPr>
    </w:pPr>
    <w:rPr>
      <w:i/>
      <w:iCs/>
      <w:color w:val="DDDDDD" w:themeColor="accent1"/>
      <w:spacing w:val="15"/>
      <w:sz w:val="24"/>
      <w:szCs w:val="30"/>
    </w:rPr>
  </w:style>
  <w:style w:type="character" w:styleId="SubtitleChar" w:customStyle="1">
    <w:name w:val="Subtitle Char"/>
    <w:basedOn w:val="DefaultParagraphFont"/>
    <w:link w:val="Subtitle"/>
    <w:uiPriority w:val="98"/>
    <w:semiHidden/>
    <w:rsid w:val="00B12EF5"/>
    <w:rPr>
      <w:rFonts w:asciiTheme="minorHAnsi" w:hAnsiTheme="minorHAnsi" w:eastAsiaTheme="minorEastAsia" w:cstheme="minorBidi"/>
      <w:i/>
      <w:iCs/>
      <w:color w:val="DDDDDD" w:themeColor="accent1"/>
      <w:spacing w:val="15"/>
      <w:sz w:val="24"/>
      <w:szCs w:val="30"/>
    </w:rPr>
  </w:style>
  <w:style w:type="character" w:styleId="SubtleEmphasis">
    <w:name w:val="Subtle Emphasis"/>
    <w:basedOn w:val="DefaultParagraphFont"/>
    <w:uiPriority w:val="98"/>
    <w:semiHidden/>
    <w:rsid w:val="00B12EF5"/>
    <w:rPr>
      <w:rFonts w:asciiTheme="minorHAnsi" w:hAnsiTheme="minorHAnsi" w:eastAsiaTheme="minorEastAsia" w:cstheme="minorBidi"/>
      <w:i/>
      <w:iCs/>
      <w:color w:val="808080" w:themeColor="text1" w:themeTint="7F"/>
      <w:szCs w:val="24"/>
    </w:rPr>
  </w:style>
  <w:style w:type="character" w:styleId="SubtleReference">
    <w:name w:val="Subtle Reference"/>
    <w:basedOn w:val="DefaultParagraphFont"/>
    <w:uiPriority w:val="98"/>
    <w:semiHidden/>
    <w:rsid w:val="00B12EF5"/>
    <w:rPr>
      <w:rFonts w:asciiTheme="minorHAnsi" w:hAnsiTheme="minorHAnsi" w:eastAsiaTheme="minorEastAsia" w:cstheme="minorBidi"/>
      <w:smallCaps/>
      <w:color w:val="B2B2B2" w:themeColor="accent2"/>
      <w:szCs w:val="24"/>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8"/>
    <w:semiHidden/>
    <w:rsid w:val="00B12EF5"/>
    <w:pPr>
      <w:spacing w:line="264" w:lineRule="auto"/>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8"/>
    <w:semiHidden/>
    <w:rsid w:val="00B12EF5"/>
    <w:pPr>
      <w:spacing w:line="264" w:lineRule="auto"/>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8"/>
    <w:semiHidden/>
    <w:rsid w:val="00B12EF5"/>
    <w:pPr>
      <w:spacing w:line="264" w:lineRule="auto"/>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8"/>
    <w:semiHidden/>
    <w:rsid w:val="00B12EF5"/>
    <w:pPr>
      <w:spacing w:line="264" w:lineRule="auto"/>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8"/>
    <w:semiHidden/>
    <w:rsid w:val="00B12EF5"/>
    <w:pPr>
      <w:spacing w:line="264" w:lineRule="auto"/>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
    <w:name w:val="Table Grid"/>
    <w:basedOn w:val="TableNormal"/>
    <w:uiPriority w:val="98"/>
    <w:rsid w:val="00B12EF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name w:val="Table Grid 1"/>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8"/>
    <w:semiHidden/>
    <w:rsid w:val="00B12EF5"/>
    <w:pPr>
      <w:spacing w:line="264" w:lineRule="auto"/>
      <w:jc w:val="both"/>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8"/>
    <w:semiHidden/>
    <w:rsid w:val="00B12EF5"/>
    <w:pPr>
      <w:spacing w:line="264" w:lineRule="auto"/>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8"/>
    <w:semiHidden/>
    <w:rsid w:val="00B12EF5"/>
    <w:pPr>
      <w:spacing w:line="264" w:lineRule="auto"/>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8"/>
    <w:semiHidden/>
    <w:rsid w:val="00B12EF5"/>
    <w:pPr>
      <w:spacing w:line="264" w:lineRule="auto"/>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8"/>
    <w:semiHidden/>
    <w:rsid w:val="00B12EF5"/>
    <w:pPr>
      <w:spacing w:line="264" w:lineRule="auto"/>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8"/>
    <w:semiHidden/>
    <w:rsid w:val="00B12EF5"/>
    <w:pPr>
      <w:spacing w:line="264" w:lineRule="auto"/>
      <w:jc w:val="both"/>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8"/>
    <w:semiHidden/>
    <w:rsid w:val="00B12EF5"/>
    <w:pPr>
      <w:spacing w:line="264"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itle">
    <w:name w:val="Title"/>
    <w:basedOn w:val="Normal"/>
    <w:next w:val="Normal"/>
    <w:link w:val="TitleChar"/>
    <w:uiPriority w:val="98"/>
    <w:semiHidden/>
    <w:rsid w:val="00B12EF5"/>
    <w:pPr>
      <w:pBdr>
        <w:bottom w:val="single" w:color="DDDDDD" w:themeColor="accent1" w:sz="8" w:space="4"/>
      </w:pBdr>
      <w:spacing w:after="300" w:line="240" w:lineRule="auto"/>
      <w:contextualSpacing/>
    </w:pPr>
    <w:rPr>
      <w:color w:val="000000" w:themeColor="text2" w:themeShade="BF"/>
      <w:spacing w:val="5"/>
      <w:kern w:val="28"/>
      <w:sz w:val="52"/>
      <w:szCs w:val="58"/>
    </w:rPr>
  </w:style>
  <w:style w:type="character" w:styleId="TitleChar" w:customStyle="1">
    <w:name w:val="Title Char"/>
    <w:basedOn w:val="DefaultParagraphFont"/>
    <w:link w:val="Title"/>
    <w:uiPriority w:val="98"/>
    <w:semiHidden/>
    <w:rsid w:val="00B12EF5"/>
    <w:rPr>
      <w:rFonts w:asciiTheme="minorHAnsi" w:hAnsiTheme="minorHAnsi" w:eastAsiaTheme="minorEastAsia" w:cstheme="minorBidi"/>
      <w:color w:val="000000" w:themeColor="text2" w:themeShade="BF"/>
      <w:spacing w:val="5"/>
      <w:kern w:val="28"/>
      <w:sz w:val="52"/>
      <w:szCs w:val="58"/>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98"/>
    <w:rsid w:val="0090150D"/>
    <w:pPr>
      <w:tabs>
        <w:tab w:val="left" w:pos="782"/>
        <w:tab w:val="right" w:leader="dot" w:pos="9072"/>
      </w:tabs>
      <w:spacing w:after="0"/>
      <w:ind w:left="782" w:hanging="782"/>
    </w:pPr>
    <w:rPr>
      <w:caps/>
      <w:noProof/>
      <w:lang w:eastAsia="zh-CN"/>
    </w:rPr>
  </w:style>
  <w:style w:type="paragraph" w:styleId="TOC2">
    <w:name w:val="toc 2"/>
    <w:basedOn w:val="TOC1"/>
    <w:uiPriority w:val="98"/>
    <w:rsid w:val="0090150D"/>
    <w:rPr>
      <w:caps w:val="0"/>
    </w:rPr>
  </w:style>
  <w:style w:type="paragraph" w:styleId="TOC3">
    <w:name w:val="toc 3"/>
    <w:basedOn w:val="TOC1"/>
    <w:uiPriority w:val="98"/>
    <w:rsid w:val="0090150D"/>
    <w:pPr>
      <w:tabs>
        <w:tab w:val="clear" w:pos="782"/>
      </w:tabs>
      <w:ind w:left="0" w:firstLine="0"/>
    </w:pPr>
  </w:style>
  <w:style w:type="paragraph" w:styleId="TOC4">
    <w:name w:val="toc 4"/>
    <w:basedOn w:val="TOC1"/>
    <w:uiPriority w:val="98"/>
    <w:rsid w:val="0090150D"/>
    <w:pPr>
      <w:tabs>
        <w:tab w:val="clear" w:pos="782"/>
      </w:tabs>
      <w:ind w:left="0" w:firstLine="0"/>
    </w:pPr>
    <w:rPr>
      <w:caps w:val="0"/>
    </w:rPr>
  </w:style>
  <w:style w:type="paragraph" w:styleId="TOC5">
    <w:name w:val="toc 5"/>
    <w:basedOn w:val="Normal"/>
    <w:next w:val="Normal"/>
    <w:uiPriority w:val="98"/>
    <w:rsid w:val="00B12EF5"/>
    <w:pPr>
      <w:spacing w:after="100"/>
      <w:ind w:left="720"/>
    </w:pPr>
  </w:style>
  <w:style w:type="paragraph" w:styleId="TOC6">
    <w:name w:val="toc 6"/>
    <w:basedOn w:val="Normal"/>
    <w:next w:val="Normal"/>
    <w:uiPriority w:val="98"/>
    <w:rsid w:val="00B12EF5"/>
    <w:pPr>
      <w:spacing w:after="100"/>
      <w:ind w:left="900"/>
    </w:pPr>
  </w:style>
  <w:style w:type="paragraph" w:styleId="TOC7">
    <w:name w:val="toc 7"/>
    <w:basedOn w:val="Normal"/>
    <w:next w:val="Normal"/>
    <w:uiPriority w:val="98"/>
    <w:rsid w:val="00B12EF5"/>
    <w:pPr>
      <w:spacing w:after="100"/>
      <w:ind w:left="1080"/>
    </w:pPr>
  </w:style>
  <w:style w:type="paragraph" w:styleId="TOC8">
    <w:name w:val="toc 8"/>
    <w:basedOn w:val="Normal"/>
    <w:next w:val="Normal"/>
    <w:uiPriority w:val="98"/>
    <w:rsid w:val="00B12EF5"/>
    <w:pPr>
      <w:spacing w:after="100"/>
      <w:ind w:left="1260"/>
    </w:pPr>
  </w:style>
  <w:style w:type="paragraph" w:styleId="TOC9">
    <w:name w:val="toc 9"/>
    <w:basedOn w:val="Normal"/>
    <w:next w:val="Normal"/>
    <w:uiPriority w:val="98"/>
    <w:rsid w:val="00B12EF5"/>
    <w:pPr>
      <w:spacing w:after="100"/>
      <w:ind w:left="1440"/>
    </w:pPr>
  </w:style>
  <w:style w:type="paragraph" w:styleId="TOCHeading">
    <w:name w:val="TOC Heading"/>
    <w:basedOn w:val="Heading1"/>
    <w:next w:val="Normal"/>
    <w:uiPriority w:val="98"/>
    <w:rsid w:val="00B12EF5"/>
    <w:pPr>
      <w:keepNext/>
      <w:keepLines/>
      <w:numPr>
        <w:numId w:val="0"/>
      </w:numPr>
      <w:suppressAutoHyphens w:val="0"/>
      <w:spacing w:before="480" w:after="0"/>
      <w:outlineLvl w:val="9"/>
    </w:pPr>
    <w:rPr>
      <w:b/>
      <w:color w:val="A5A5A5" w:themeColor="accent1" w:themeShade="BF"/>
      <w:kern w:val="0"/>
      <w:sz w:val="28"/>
      <w:szCs w:val="34"/>
      <w:lang w:eastAsia="en-GB"/>
    </w:rPr>
  </w:style>
  <w:style w:type="character" w:styleId="StandardAshurstChar" w:customStyle="1">
    <w:name w:val="StandardAshurst Char"/>
    <w:basedOn w:val="DefaultParagraphFont"/>
    <w:link w:val="StandardAshurst"/>
    <w:rsid w:val="00B12EF5"/>
    <w:rPr>
      <w:rFonts w:asciiTheme="minorHAnsi" w:hAnsiTheme="minorHAnsi" w:eastAsiaTheme="minorEastAsia" w:cstheme="minorBidi"/>
      <w:szCs w:val="24"/>
    </w:rPr>
  </w:style>
  <w:style w:type="paragraph" w:styleId="Alt2RecitalsAshurst" w:customStyle="1">
    <w:name w:val="Alt2_RecitalsAshurst"/>
    <w:basedOn w:val="NormalAshurst"/>
    <w:rsid w:val="009B082F"/>
    <w:pPr>
      <w:numPr>
        <w:numId w:val="33"/>
      </w:numPr>
      <w:outlineLvl w:val="0"/>
    </w:pPr>
    <w:rPr>
      <w:lang w:eastAsia="zh-CN"/>
    </w:rPr>
  </w:style>
  <w:style w:type="paragraph" w:styleId="AltPartiesAshurst" w:customStyle="1">
    <w:name w:val="AltPartiesAshurst"/>
    <w:basedOn w:val="NormalAshurst"/>
    <w:rsid w:val="009B082F"/>
    <w:pPr>
      <w:numPr>
        <w:numId w:val="34"/>
      </w:numPr>
      <w:outlineLvl w:val="0"/>
    </w:pPr>
    <w:rPr>
      <w:lang w:eastAsia="zh-CN"/>
    </w:rPr>
  </w:style>
  <w:style w:type="table" w:styleId="MPTTable1" w:customStyle="1">
    <w:name w:val="MPT Table 1"/>
    <w:basedOn w:val="TableNormal"/>
    <w:rsid w:val="00290483"/>
    <w:rPr>
      <w:rFonts w:eastAsiaTheme="minorHAnsi"/>
      <w:lang w:eastAsia="zh-CN"/>
    </w:rPr>
    <w:tblPr>
      <w:tblBorders>
        <w:bottom w:val="single" w:color="FFFFFF" w:themeColor="background1" w:sz="8" w:space="0"/>
        <w:insideH w:val="single" w:color="FFFFFF" w:themeColor="background1" w:sz="8" w:space="0"/>
        <w:insideV w:val="single" w:color="FFFFFF" w:themeColor="background1" w:sz="8" w:space="0"/>
      </w:tblBorders>
      <w:tblCellMar>
        <w:top w:w="85" w:type="dxa"/>
        <w:bottom w:w="85" w:type="dxa"/>
      </w:tblCellMar>
    </w:tblPr>
    <w:tcPr>
      <w:shd w:val="clear" w:color="auto" w:fill="F8F8F8" w:themeFill="accent1" w:themeFillTint="33"/>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2" w:customStyle="1">
    <w:name w:val="MPT Table 2"/>
    <w:basedOn w:val="MPTTable1"/>
    <w:rsid w:val="00453B0E"/>
    <w:tblPr>
      <w:tblBorders>
        <w:bottom w:val="single" w:color="DDDDDD" w:themeColor="accent1" w:sz="8" w:space="0"/>
        <w:insideH w:val="single" w:color="DDDDDD" w:themeColor="accent1" w:sz="8" w:space="0"/>
        <w:insideV w:val="none" w:color="auto" w:sz="0"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3" w:customStyle="1">
    <w:name w:val="MPT Table 3"/>
    <w:basedOn w:val="MPTTable1"/>
    <w:rsid w:val="00453B0E"/>
    <w:tblPr>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4" w:customStyle="1">
    <w:name w:val="MPT Table 4"/>
    <w:basedOn w:val="MPTTable1"/>
    <w:rsid w:val="00453B0E"/>
    <w:tblPr>
      <w:tblStyleRowBandSize w:val="1"/>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DDDDDD" w:themeColor="accent1" w:sz="8" w:space="0"/>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F8F8F8" w:themeFill="accent1" w:themeFillTint="33"/>
      </w:tcPr>
    </w:tblStylePr>
  </w:style>
  <w:style w:type="table" w:styleId="MPTTable5" w:customStyle="1">
    <w:name w:val="MPT Table 5"/>
    <w:basedOn w:val="MPTTable1"/>
    <w:rsid w:val="00453B0E"/>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F8F8F8" w:themeFill="accent1" w:themeFillTint="33"/>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nil"/>
          <w:insideV w:val="nil"/>
          <w:tl2br w:val="nil"/>
          <w:tr2bl w:val="nil"/>
        </w:tcBorders>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firstCol">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F8F8F8" w:themeFill="accent1" w:themeFillTint="33"/>
      </w:tcPr>
    </w:tblStylePr>
    <w:tblStylePr w:type="lastCol">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2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1Horz">
      <w:tblPr/>
      <w:tcPr>
        <w:tcBorders>
          <w:top w:val="nil"/>
          <w:left w:val="nil"/>
          <w:bottom w:val="single" w:color="DDDDDD" w:themeColor="accent1" w:sz="8" w:space="0"/>
          <w:right w:val="single" w:color="DDDDDD" w:themeColor="accent1" w:sz="8" w:space="0"/>
          <w:insideH w:val="nil"/>
          <w:insideV w:val="nil"/>
          <w:tl2br w:val="nil"/>
          <w:tr2bl w:val="nil"/>
        </w:tcBorders>
        <w:shd w:val="clear" w:color="auto" w:fill="auto"/>
      </w:tcPr>
    </w:tblStylePr>
    <w:tblStylePr w:type="band2Horz">
      <w:tblPr/>
      <w:tcPr>
        <w:tcBorders>
          <w:top w:val="nil"/>
          <w:left w:val="nil"/>
          <w:bottom w:val="single" w:color="DDDDDD" w:themeColor="accent1" w:sz="8" w:space="0"/>
          <w:right w:val="single" w:color="DDDDDD" w:themeColor="accent1" w:sz="8" w:space="0"/>
          <w:insideH w:val="nil"/>
          <w:insideV w:val="nil"/>
          <w:tl2br w:val="nil"/>
          <w:tr2bl w:val="nil"/>
        </w:tcBorders>
        <w:shd w:val="clear" w:color="auto" w:fill="auto"/>
      </w:tcPr>
    </w:tblStylePr>
  </w:style>
  <w:style w:type="table" w:styleId="MPTTableSlate1" w:customStyle="1">
    <w:name w:val="MPT Table Slate 1"/>
    <w:basedOn w:val="MPTTable1"/>
    <w:rsid w:val="00453B0E"/>
    <w:tblPr>
      <w:tblStyleRowBandSize w:val="1"/>
    </w:tblPr>
    <w:tcPr>
      <w:shd w:val="clear" w:color="auto" w:fill="CCCCCC" w:themeFill="text1" w:themeFillTint="33"/>
    </w:tcPr>
    <w:tblStylePr w:type="firstRow">
      <w:pPr>
        <w:wordWrap/>
        <w:spacing w:before="0" w:beforeLines="0" w:beforeAutospacing="0" w:after="0" w:afterLines="0" w:afterAutospacing="0" w:line="240" w:lineRule="auto"/>
        <w:jc w:val="left"/>
      </w:pPr>
      <w:rPr>
        <w:rFonts w:asciiTheme="minorHAnsi" w:hAnsiTheme="minorHAnsi"/>
        <w:b/>
        <w:caps/>
        <w:smallCaps w:val="0"/>
        <w:color w:val="FFFFFF" w:themeColor="background1"/>
        <w:sz w:val="18"/>
      </w:rPr>
      <w:tblPr/>
      <w:tcPr>
        <w:tcBorders>
          <w:top w:val="nil"/>
          <w:bottom w:val="single" w:color="FFFFFF" w:themeColor="background1" w:sz="8" w:space="0"/>
          <w:insideH w:val="single" w:color="FFFFFF" w:themeColor="background1" w:sz="8" w:space="0"/>
          <w:insideV w:val="single" w:color="FFFFFF" w:themeColor="background1" w:sz="8" w:space="0"/>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CCCCCC" w:themeFill="text1" w:themeFillTint="33"/>
      </w:tcPr>
    </w:tblStylePr>
    <w:tblStylePr w:type="band1Horz">
      <w:tblPr/>
      <w:tcPr>
        <w:shd w:val="clear" w:color="auto" w:fill="CCCCCC" w:themeFill="text1" w:themeFillTint="33"/>
      </w:tcPr>
    </w:tblStylePr>
  </w:style>
  <w:style w:type="table" w:styleId="MPTTableSlate2" w:customStyle="1">
    <w:name w:val="MPT Table Slate 2"/>
    <w:basedOn w:val="MPTTable2"/>
    <w:rsid w:val="00453B0E"/>
    <w:tblPr>
      <w:tblBorders>
        <w:bottom w:val="single" w:color="000000" w:themeColor="text1" w:sz="8" w:space="0"/>
        <w:insideH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single" w:color="000000" w:themeColor="text1" w:sz="4" w:space="0"/>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000000" w:themeColor="text1" w:sz="8" w:space="0"/>
        </w:tcBorders>
        <w:shd w:val="clear" w:color="auto" w:fill="CCCCCC" w:themeFill="text1" w:themeFillTint="33"/>
      </w:tcPr>
    </w:tblStylePr>
  </w:style>
  <w:style w:type="table" w:styleId="MPTTableSlate3" w:customStyle="1">
    <w:name w:val="MPT Table Slate 3"/>
    <w:basedOn w:val="MPTTable3"/>
    <w:rsid w:val="00453B0E"/>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000000" w:themeColor="text1" w:sz="8" w:space="0"/>
        </w:tcBorders>
        <w:shd w:val="clear" w:color="auto" w:fill="CCCCCC" w:themeFill="text1" w:themeFillTint="33"/>
      </w:tcPr>
    </w:tblStylePr>
  </w:style>
  <w:style w:type="table" w:styleId="MPTTableSlate4" w:customStyle="1">
    <w:name w:val="MPT Table Slate 4"/>
    <w:basedOn w:val="MPTTable4"/>
    <w:rsid w:val="00453B0E"/>
    <w:tblPr>
      <w:tblBorders>
        <w:bottom w:val="single" w:color="000000" w:themeColor="text1" w:sz="4" w:space="0"/>
        <w:insideH w:val="none" w:color="auto" w:sz="0" w:space="0"/>
        <w:insideV w:val="none" w:color="auto" w:sz="0"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nil"/>
          <w:left w:val="nil"/>
          <w:bottom w:val="single" w:color="000000" w:themeColor="text1" w:sz="8" w:space="0"/>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CCCCCC" w:themeFill="text1" w:themeFillTint="33"/>
      </w:tcPr>
    </w:tblStylePr>
  </w:style>
  <w:style w:type="table" w:styleId="MPTTableSlate5" w:customStyle="1">
    <w:name w:val="MPT Table Slate 5"/>
    <w:basedOn w:val="MPTTable5"/>
    <w:rsid w:val="00453B0E"/>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nil"/>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firstCol">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CCCCCC" w:themeFill="text1" w:themeFillTint="33"/>
      </w:tcPr>
    </w:tblStylePr>
    <w:tblStylePr w:type="lastCol">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2Vert">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1Horz">
      <w:tblPr/>
      <w:tcPr>
        <w:tcBorders>
          <w:top w:val="nil"/>
          <w:left w:val="nil"/>
          <w:bottom w:val="single" w:color="000000" w:themeColor="text1" w:sz="8" w:space="0"/>
          <w:right w:val="nil"/>
          <w:insideH w:val="nil"/>
          <w:insideV w:val="nil"/>
          <w:tl2br w:val="nil"/>
          <w:tr2bl w:val="nil"/>
        </w:tcBorders>
        <w:shd w:val="clear" w:color="auto" w:fill="auto"/>
      </w:tcPr>
    </w:tblStylePr>
    <w:tblStylePr w:type="band2Horz">
      <w:tblPr/>
      <w:tcPr>
        <w:tcBorders>
          <w:top w:val="nil"/>
          <w:left w:val="nil"/>
          <w:bottom w:val="single" w:color="000000" w:themeColor="text1" w:sz="8" w:space="0"/>
          <w:right w:val="nil"/>
          <w:insideH w:val="nil"/>
          <w:insideV w:val="nil"/>
          <w:tl2br w:val="nil"/>
          <w:tr2bl w:val="nil"/>
        </w:tcBorders>
        <w:shd w:val="clear" w:color="auto" w:fill="auto"/>
      </w:tcPr>
    </w:tblStylePr>
  </w:style>
  <w:style w:type="paragraph" w:styleId="DefSubSubAshurst" w:customStyle="1">
    <w:name w:val="DefSubSubAshurst"/>
    <w:basedOn w:val="NormalAshurst"/>
    <w:uiPriority w:val="26"/>
    <w:rsid w:val="00AB24AD"/>
    <w:pPr>
      <w:numPr>
        <w:ilvl w:val="3"/>
        <w:numId w:val="30"/>
      </w:numPr>
    </w:pPr>
  </w:style>
  <w:style w:type="paragraph" w:styleId="NormalOCAshurst" w:customStyle="1">
    <w:name w:val="NormalOCAshurst"/>
    <w:link w:val="NormalOCAshurstChar"/>
    <w:qFormat/>
    <w:rsid w:val="006A0136"/>
    <w:pPr>
      <w:suppressAutoHyphens/>
      <w:spacing w:after="200"/>
      <w:jc w:val="both"/>
    </w:pPr>
    <w:rPr>
      <w:rFonts w:ascii="Times New Roman" w:hAnsi="Times New Roman" w:eastAsia="Times New Roman" w:cs="Times New Roman"/>
      <w:sz w:val="20"/>
      <w:szCs w:val="20"/>
      <w:lang w:eastAsia="en-GB"/>
    </w:rPr>
  </w:style>
  <w:style w:type="character" w:styleId="NormalOCAshurstChar" w:customStyle="1">
    <w:name w:val="NormalOCAshurst Char"/>
    <w:link w:val="NormalOCAshurst"/>
    <w:rsid w:val="006A0136"/>
    <w:rPr>
      <w:rFonts w:ascii="Times New Roman" w:hAnsi="Times New Roman" w:eastAsia="Times New Roman" w:cs="Times New Roman"/>
      <w:sz w:val="20"/>
      <w:szCs w:val="20"/>
      <w:lang w:eastAsia="en-GB"/>
    </w:rPr>
  </w:style>
  <w:style w:type="paragraph" w:styleId="StandardOCAshurst" w:customStyle="1">
    <w:name w:val="StandardOCAshurst"/>
    <w:basedOn w:val="NormalOCAshurst"/>
    <w:link w:val="StandardOCAshurstChar"/>
    <w:qFormat/>
    <w:rsid w:val="006A0136"/>
    <w:pPr>
      <w:spacing w:after="0"/>
    </w:pPr>
  </w:style>
  <w:style w:type="character" w:styleId="StandardOCAshurstChar" w:customStyle="1">
    <w:name w:val="StandardOCAshurst Char"/>
    <w:basedOn w:val="NormalOCAshurstChar"/>
    <w:link w:val="StandardOCAshurst"/>
    <w:rsid w:val="006A0136"/>
    <w:rPr>
      <w:rFonts w:ascii="Times New Roman" w:hAnsi="Times New Roman" w:eastAsia="Times New Roman" w:cs="Times New Roman"/>
      <w:sz w:val="20"/>
      <w:szCs w:val="20"/>
      <w:lang w:eastAsia="en-GB"/>
    </w:rPr>
  </w:style>
  <w:style w:type="paragraph" w:styleId="AltH5OCAshurst" w:customStyle="1">
    <w:name w:val="AltH5OCAshurst"/>
    <w:basedOn w:val="NormalOCAshurst"/>
    <w:uiPriority w:val="40"/>
    <w:rsid w:val="006A0136"/>
    <w:pPr>
      <w:numPr>
        <w:ilvl w:val="4"/>
        <w:numId w:val="35"/>
      </w:numPr>
      <w:tabs>
        <w:tab w:val="clear" w:pos="1843"/>
        <w:tab w:val="num" w:pos="2653"/>
        <w:tab w:val="num" w:pos="3600"/>
      </w:tabs>
      <w:ind w:left="2653" w:hanging="623"/>
      <w:outlineLvl w:val="4"/>
    </w:pPr>
    <w:rPr>
      <w:rFonts w:eastAsia="Microsoft JhengHei"/>
    </w:rPr>
  </w:style>
  <w:style w:type="paragraph" w:styleId="AltH1OCAshurst" w:customStyle="1">
    <w:name w:val="AltH1OCAshurst"/>
    <w:basedOn w:val="NormalOCAshurst"/>
    <w:uiPriority w:val="40"/>
    <w:rsid w:val="006A0136"/>
    <w:pPr>
      <w:numPr>
        <w:numId w:val="35"/>
      </w:numPr>
      <w:tabs>
        <w:tab w:val="clear" w:pos="709"/>
        <w:tab w:val="num" w:pos="782"/>
        <w:tab w:val="num" w:pos="3277"/>
      </w:tabs>
      <w:ind w:left="782" w:hanging="782"/>
      <w:outlineLvl w:val="0"/>
    </w:pPr>
    <w:rPr>
      <w:rFonts w:eastAsia="Microsoft JhengHei"/>
    </w:rPr>
  </w:style>
  <w:style w:type="paragraph" w:styleId="AltH2OCAshurst" w:customStyle="1">
    <w:name w:val="AltH2OCAshurst"/>
    <w:basedOn w:val="NormalOCAshurst"/>
    <w:uiPriority w:val="40"/>
    <w:rsid w:val="006A0136"/>
    <w:pPr>
      <w:numPr>
        <w:ilvl w:val="1"/>
        <w:numId w:val="35"/>
      </w:numPr>
      <w:tabs>
        <w:tab w:val="clear" w:pos="709"/>
        <w:tab w:val="num" w:pos="782"/>
        <w:tab w:val="num" w:pos="1440"/>
      </w:tabs>
      <w:ind w:left="782" w:hanging="782"/>
      <w:outlineLvl w:val="1"/>
    </w:pPr>
    <w:rPr>
      <w:rFonts w:eastAsia="Microsoft JhengHei"/>
    </w:rPr>
  </w:style>
  <w:style w:type="paragraph" w:styleId="AltH3OCAshurst" w:customStyle="1">
    <w:name w:val="AltH3OCAshurst"/>
    <w:basedOn w:val="NormalOCAshurst"/>
    <w:uiPriority w:val="40"/>
    <w:rsid w:val="006A0136"/>
    <w:pPr>
      <w:numPr>
        <w:ilvl w:val="2"/>
        <w:numId w:val="35"/>
      </w:numPr>
      <w:tabs>
        <w:tab w:val="num" w:pos="2160"/>
      </w:tabs>
      <w:outlineLvl w:val="2"/>
    </w:pPr>
    <w:rPr>
      <w:rFonts w:eastAsia="Microsoft JhengHei"/>
    </w:rPr>
  </w:style>
  <w:style w:type="paragraph" w:styleId="AltH4OCAshurst" w:customStyle="1">
    <w:name w:val="AltH4OCAshurst"/>
    <w:basedOn w:val="NormalOCAshurst"/>
    <w:uiPriority w:val="40"/>
    <w:rsid w:val="006A0136"/>
    <w:pPr>
      <w:numPr>
        <w:ilvl w:val="3"/>
        <w:numId w:val="35"/>
      </w:numPr>
      <w:tabs>
        <w:tab w:val="clear" w:pos="1276"/>
        <w:tab w:val="num" w:pos="2030"/>
        <w:tab w:val="num" w:pos="2880"/>
      </w:tabs>
      <w:ind w:left="2030" w:hanging="624"/>
      <w:outlineLvl w:val="3"/>
    </w:pPr>
    <w:rPr>
      <w:rFonts w:eastAsia="Microsoft JhengHei"/>
    </w:rPr>
  </w:style>
  <w:style w:type="paragraph" w:styleId="AltH6OCAshurst" w:customStyle="1">
    <w:name w:val="AltH6OCAshurst"/>
    <w:basedOn w:val="NormalOCAshurst"/>
    <w:uiPriority w:val="40"/>
    <w:rsid w:val="006A0136"/>
    <w:pPr>
      <w:numPr>
        <w:ilvl w:val="5"/>
        <w:numId w:val="35"/>
      </w:numPr>
      <w:tabs>
        <w:tab w:val="clear" w:pos="2410"/>
        <w:tab w:val="num" w:pos="3277"/>
        <w:tab w:val="num" w:pos="4320"/>
      </w:tabs>
      <w:ind w:left="3277" w:hanging="624"/>
      <w:outlineLvl w:val="5"/>
    </w:pPr>
    <w:rPr>
      <w:rFonts w:eastAsia="Microsoft JhengHei"/>
    </w:rPr>
  </w:style>
  <w:style w:type="paragraph" w:styleId="AltH7OCAshurst" w:customStyle="1">
    <w:name w:val="AltH7OCAshurst"/>
    <w:basedOn w:val="NormalOCAshurst"/>
    <w:rsid w:val="006A0136"/>
    <w:pPr>
      <w:numPr>
        <w:ilvl w:val="6"/>
        <w:numId w:val="35"/>
      </w:numPr>
      <w:tabs>
        <w:tab w:val="clear" w:pos="2977"/>
        <w:tab w:val="num" w:pos="0"/>
        <w:tab w:val="num" w:pos="5040"/>
      </w:tabs>
      <w:ind w:left="0" w:firstLine="0"/>
      <w:outlineLvl w:val="6"/>
    </w:pPr>
    <w:rPr>
      <w:rFonts w:eastAsia="Microsoft JhengHei"/>
    </w:rPr>
  </w:style>
  <w:style w:type="paragraph" w:styleId="AltH8OCAshurst" w:customStyle="1">
    <w:name w:val="AltH8OCAshurst"/>
    <w:basedOn w:val="NormalOCAshurst"/>
    <w:uiPriority w:val="40"/>
    <w:rsid w:val="006A0136"/>
    <w:pPr>
      <w:numPr>
        <w:ilvl w:val="7"/>
        <w:numId w:val="35"/>
      </w:numPr>
      <w:tabs>
        <w:tab w:val="clear" w:pos="3544"/>
        <w:tab w:val="num" w:pos="0"/>
        <w:tab w:val="num" w:pos="5760"/>
      </w:tabs>
      <w:ind w:left="0" w:firstLine="0"/>
      <w:outlineLvl w:val="7"/>
    </w:pPr>
    <w:rPr>
      <w:rFonts w:eastAsia="Microsoft JhengHei"/>
    </w:rPr>
  </w:style>
  <w:style w:type="paragraph" w:styleId="DefSubOCAshurst" w:customStyle="1">
    <w:name w:val="DefSubOCAshurst"/>
    <w:basedOn w:val="NormalOCAshurst"/>
    <w:uiPriority w:val="79"/>
    <w:rsid w:val="00606F84"/>
    <w:pPr>
      <w:numPr>
        <w:ilvl w:val="1"/>
        <w:numId w:val="36"/>
      </w:numPr>
      <w:outlineLvl w:val="0"/>
    </w:pPr>
    <w:rPr>
      <w:rFonts w:eastAsia="Microsoft JhengHei"/>
    </w:rPr>
  </w:style>
  <w:style w:type="paragraph" w:styleId="DefSubSubOCAshurst" w:customStyle="1">
    <w:name w:val="DefSubSubOCAshurst"/>
    <w:basedOn w:val="NormalOCAshurst"/>
    <w:uiPriority w:val="79"/>
    <w:rsid w:val="00606F84"/>
    <w:pPr>
      <w:numPr>
        <w:ilvl w:val="2"/>
        <w:numId w:val="36"/>
      </w:numPr>
      <w:outlineLvl w:val="1"/>
    </w:pPr>
    <w:rPr>
      <w:rFonts w:eastAsia="Microsoft JhengHei"/>
    </w:rPr>
  </w:style>
  <w:style w:type="paragraph" w:styleId="DefClauseOCAshurst" w:customStyle="1">
    <w:name w:val="DefClauseOCAshurst"/>
    <w:basedOn w:val="NormalOCAshurst"/>
    <w:next w:val="DefSubOCAshurst"/>
    <w:uiPriority w:val="98"/>
    <w:rsid w:val="00606F84"/>
    <w:pPr>
      <w:numPr>
        <w:numId w:val="36"/>
      </w:numPr>
    </w:pPr>
    <w:rPr>
      <w:rFonts w:eastAsia="Microsoft JhengHei"/>
    </w:rPr>
  </w:style>
  <w:style w:type="paragraph" w:styleId="Style1" w:customStyle="1">
    <w:name w:val="Style1"/>
    <w:basedOn w:val="H3Ashurst"/>
    <w:link w:val="Style1Char"/>
    <w:qFormat/>
    <w:rsid w:val="00953D93"/>
    <w:pPr>
      <w:numPr>
        <w:ilvl w:val="0"/>
        <w:numId w:val="0"/>
      </w:numPr>
      <w:ind w:left="782"/>
    </w:pPr>
  </w:style>
  <w:style w:type="character" w:styleId="H3AshurstChar" w:customStyle="1">
    <w:name w:val="H3Ashurst Char"/>
    <w:basedOn w:val="NormalAshurstChar"/>
    <w:link w:val="H3Ashurst"/>
    <w:uiPriority w:val="1"/>
    <w:rsid w:val="00953D93"/>
  </w:style>
  <w:style w:type="character" w:styleId="Style1Char" w:customStyle="1">
    <w:name w:val="Style1 Char"/>
    <w:basedOn w:val="H3AshurstChar"/>
    <w:link w:val="Style1"/>
    <w:rsid w:val="00953D93"/>
  </w:style>
  <w:style w:type="paragraph" w:styleId="Revision">
    <w:name w:val="Revision"/>
    <w:hidden/>
    <w:semiHidden/>
    <w:rsid w:val="00F13F6A"/>
    <w:rPr>
      <w:rFonts w:ascii="Verdana" w:hAnsi="Verdana" w:eastAsia="Times New Roman" w:cs="Times New Roman"/>
      <w:szCs w:val="18"/>
      <w:lang w:eastAsia="en-GB"/>
    </w:rPr>
  </w:style>
  <w:style w:type="table" w:styleId="TableGrid10" w:customStyle="1">
    <w:name w:val="Table Grid1"/>
    <w:basedOn w:val="TableNormal"/>
    <w:next w:val="TableGrid"/>
    <w:uiPriority w:val="98"/>
    <w:rsid w:val="00ED4B71"/>
    <w:pPr>
      <w:spacing w:before="100" w:after="100"/>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1OCAshurst" w:customStyle="1">
    <w:name w:val="Body1OCAshurst"/>
    <w:basedOn w:val="Normal"/>
    <w:uiPriority w:val="2"/>
    <w:qFormat/>
    <w:rsid w:val="005E3176"/>
    <w:pPr>
      <w:spacing w:after="200" w:line="240" w:lineRule="auto"/>
      <w:ind w:left="709"/>
    </w:pPr>
    <w:rPr>
      <w:rFonts w:cs="Calibri" w:eastAsiaTheme="minorEastAsia"/>
      <w:sz w:val="20"/>
      <w:szCs w:val="20"/>
      <w:lang w:eastAsia="zh-CN"/>
    </w:rPr>
  </w:style>
  <w:style w:type="paragraph" w:styleId="Times" w:customStyle="1">
    <w:name w:val="Times"/>
    <w:basedOn w:val="Normal"/>
    <w:rsid w:val="003F1726"/>
    <w:pPr>
      <w:tabs>
        <w:tab w:val="left" w:pos="709"/>
        <w:tab w:val="left" w:pos="1276"/>
        <w:tab w:val="left" w:pos="1843"/>
        <w:tab w:val="left" w:pos="2409"/>
        <w:tab w:val="left" w:pos="2976"/>
        <w:tab w:val="left" w:pos="3543"/>
        <w:tab w:val="left" w:pos="4110"/>
      </w:tabs>
      <w:suppressAutoHyphens/>
      <w:spacing w:after="200" w:line="240" w:lineRule="auto"/>
      <w:ind w:left="629"/>
    </w:pPr>
    <w:rPr>
      <w:rFonts w:ascii="Times New Roman" w:hAnsi="Times New Roman"/>
      <w:b/>
      <w:bCs/>
      <w:sz w:val="20"/>
      <w:szCs w:val="20"/>
    </w:rPr>
  </w:style>
  <w:style w:type="paragraph" w:styleId="TableNum1OCAshurst" w:customStyle="1">
    <w:name w:val="TableNum1OCAshurst"/>
    <w:basedOn w:val="NormalOCAshurst"/>
    <w:uiPriority w:val="79"/>
    <w:rsid w:val="00F25F8F"/>
    <w:pPr>
      <w:numPr>
        <w:numId w:val="37"/>
      </w:numPr>
      <w:outlineLvl w:val="0"/>
    </w:pPr>
    <w:rPr>
      <w:rFonts w:asciiTheme="minorHAnsi" w:hAnsiTheme="minorHAnsi" w:eastAsiaTheme="minorEastAsia"/>
      <w:lang w:eastAsia="ja-JP"/>
    </w:rPr>
  </w:style>
  <w:style w:type="paragraph" w:styleId="TableNum2OCAshurst" w:customStyle="1">
    <w:name w:val="TableNum2OCAshurst"/>
    <w:basedOn w:val="NormalOCAshurst"/>
    <w:uiPriority w:val="79"/>
    <w:rsid w:val="00F25F8F"/>
    <w:pPr>
      <w:numPr>
        <w:ilvl w:val="1"/>
        <w:numId w:val="37"/>
      </w:numPr>
      <w:outlineLvl w:val="1"/>
    </w:pPr>
    <w:rPr>
      <w:rFonts w:asciiTheme="minorHAnsi" w:hAnsiTheme="minorHAnsi" w:eastAsiaTheme="minorEastAsia"/>
      <w:lang w:eastAsia="ja-JP"/>
    </w:rPr>
  </w:style>
  <w:style w:type="paragraph" w:styleId="TableNum3OCAshurst" w:customStyle="1">
    <w:name w:val="TableNum3OCAshurst"/>
    <w:basedOn w:val="NormalOCAshurst"/>
    <w:uiPriority w:val="79"/>
    <w:rsid w:val="00F25F8F"/>
    <w:pPr>
      <w:numPr>
        <w:ilvl w:val="2"/>
        <w:numId w:val="37"/>
      </w:numPr>
    </w:pPr>
    <w:rPr>
      <w:rFonts w:asciiTheme="minorHAnsi" w:hAnsiTheme="minorHAnsi" w:eastAsiaTheme="minorEastAsia"/>
      <w:lang w:eastAsia="ja-JP"/>
    </w:rPr>
  </w:style>
  <w:style w:type="paragraph" w:styleId="TableNum4OCAshurst" w:customStyle="1">
    <w:name w:val="TableNum4OCAshurst"/>
    <w:basedOn w:val="NormalOCAshurst"/>
    <w:uiPriority w:val="79"/>
    <w:rsid w:val="00F25F8F"/>
    <w:pPr>
      <w:numPr>
        <w:ilvl w:val="3"/>
        <w:numId w:val="37"/>
      </w:numPr>
    </w:pPr>
    <w:rPr>
      <w:rFonts w:asciiTheme="minorHAnsi" w:hAnsiTheme="minorHAnsi" w:eastAsiaTheme="minorEastAsia"/>
      <w:lang w:eastAsia="ja-JP"/>
    </w:rPr>
  </w:style>
  <w:style w:type="paragraph" w:styleId="TableNum5OCAshurst" w:customStyle="1">
    <w:name w:val="TableNum5OCAshurst"/>
    <w:basedOn w:val="NormalOCAshurst"/>
    <w:uiPriority w:val="79"/>
    <w:rsid w:val="00F25F8F"/>
    <w:pPr>
      <w:numPr>
        <w:ilvl w:val="4"/>
        <w:numId w:val="37"/>
      </w:numPr>
    </w:pPr>
    <w:rPr>
      <w:rFonts w:asciiTheme="minorHAnsi" w:hAnsiTheme="minorHAnsi" w:eastAsiaTheme="minorEastAsia"/>
      <w:lang w:eastAsia="ja-JP"/>
    </w:rPr>
  </w:style>
  <w:style w:type="paragraph" w:styleId="TableNum6OCAshurst" w:customStyle="1">
    <w:name w:val="TableNum6OCAshurst"/>
    <w:basedOn w:val="NormalOCAshurst"/>
    <w:uiPriority w:val="79"/>
    <w:rsid w:val="00F25F8F"/>
    <w:pPr>
      <w:numPr>
        <w:ilvl w:val="5"/>
        <w:numId w:val="37"/>
      </w:numPr>
    </w:pPr>
    <w:rPr>
      <w:rFonts w:asciiTheme="minorHAnsi" w:hAnsiTheme="minorHAnsi" w:eastAsiaTheme="minorEastAsia"/>
      <w:lang w:eastAsia="ja-JP"/>
    </w:rPr>
  </w:style>
  <w:style w:type="paragraph" w:styleId="BulletOCAshurst" w:customStyle="1">
    <w:name w:val="BulletOCAshurst"/>
    <w:basedOn w:val="NormalOCAshurst"/>
    <w:uiPriority w:val="79"/>
    <w:rsid w:val="00CA64A0"/>
    <w:pPr>
      <w:numPr>
        <w:numId w:val="38"/>
      </w:numPr>
    </w:pPr>
    <w:rPr>
      <w:rFonts w:asciiTheme="minorHAnsi" w:hAnsiTheme="minorHAnsi" w:eastAsiaTheme="minorEastAsia"/>
    </w:rPr>
  </w:style>
  <w:style w:type="paragraph" w:styleId="H1OCAshurst" w:customStyle="1">
    <w:name w:val="H1OCAshurst"/>
    <w:basedOn w:val="NormalOCAshurst"/>
    <w:uiPriority w:val="1"/>
    <w:qFormat/>
    <w:rsid w:val="00A16450"/>
    <w:pPr>
      <w:numPr>
        <w:numId w:val="39"/>
      </w:numPr>
      <w:outlineLvl w:val="0"/>
    </w:pPr>
    <w:rPr>
      <w:rFonts w:asciiTheme="minorHAnsi" w:hAnsiTheme="minorHAnsi" w:eastAsiaTheme="minorEastAsia"/>
      <w:b/>
    </w:rPr>
  </w:style>
  <w:style w:type="paragraph" w:styleId="H2OCAshurst" w:customStyle="1">
    <w:name w:val="H2OCAshurst"/>
    <w:basedOn w:val="NormalOCAshurst"/>
    <w:uiPriority w:val="1"/>
    <w:qFormat/>
    <w:rsid w:val="00A16450"/>
    <w:pPr>
      <w:numPr>
        <w:ilvl w:val="1"/>
        <w:numId w:val="39"/>
      </w:numPr>
      <w:outlineLvl w:val="1"/>
    </w:pPr>
    <w:rPr>
      <w:rFonts w:asciiTheme="minorHAnsi" w:hAnsiTheme="minorHAnsi" w:eastAsiaTheme="minorEastAsia"/>
      <w:b/>
    </w:rPr>
  </w:style>
  <w:style w:type="paragraph" w:styleId="H3OCAshurst" w:customStyle="1">
    <w:name w:val="H3OCAshurst"/>
    <w:basedOn w:val="NormalOCAshurst"/>
    <w:uiPriority w:val="1"/>
    <w:qFormat/>
    <w:rsid w:val="00A16450"/>
    <w:pPr>
      <w:numPr>
        <w:ilvl w:val="2"/>
        <w:numId w:val="39"/>
      </w:numPr>
      <w:outlineLvl w:val="2"/>
    </w:pPr>
    <w:rPr>
      <w:rFonts w:asciiTheme="minorHAnsi" w:hAnsiTheme="minorHAnsi" w:eastAsiaTheme="minorEastAsia"/>
    </w:rPr>
  </w:style>
  <w:style w:type="paragraph" w:styleId="H4OCAshurst" w:customStyle="1">
    <w:name w:val="H4OCAshurst"/>
    <w:basedOn w:val="NormalOCAshurst"/>
    <w:uiPriority w:val="1"/>
    <w:qFormat/>
    <w:rsid w:val="00A16450"/>
    <w:pPr>
      <w:numPr>
        <w:ilvl w:val="3"/>
        <w:numId w:val="39"/>
      </w:numPr>
      <w:outlineLvl w:val="3"/>
    </w:pPr>
    <w:rPr>
      <w:rFonts w:asciiTheme="minorHAnsi" w:hAnsiTheme="minorHAnsi" w:eastAsiaTheme="minorEastAsia"/>
    </w:rPr>
  </w:style>
  <w:style w:type="paragraph" w:styleId="H5OCAshurst" w:customStyle="1">
    <w:name w:val="H5OCAshurst"/>
    <w:basedOn w:val="NormalOCAshurst"/>
    <w:uiPriority w:val="1"/>
    <w:qFormat/>
    <w:rsid w:val="00A16450"/>
    <w:pPr>
      <w:numPr>
        <w:ilvl w:val="4"/>
        <w:numId w:val="39"/>
      </w:numPr>
      <w:outlineLvl w:val="4"/>
    </w:pPr>
    <w:rPr>
      <w:rFonts w:asciiTheme="minorHAnsi" w:hAnsiTheme="minorHAnsi" w:eastAsiaTheme="minorEastAsia"/>
    </w:rPr>
  </w:style>
  <w:style w:type="paragraph" w:styleId="H6OCAshurst" w:customStyle="1">
    <w:name w:val="H6OCAshurst"/>
    <w:basedOn w:val="NormalOCAshurst"/>
    <w:uiPriority w:val="38"/>
    <w:rsid w:val="00A16450"/>
    <w:pPr>
      <w:numPr>
        <w:ilvl w:val="5"/>
        <w:numId w:val="39"/>
      </w:numPr>
      <w:outlineLvl w:val="5"/>
    </w:pPr>
    <w:rPr>
      <w:rFonts w:asciiTheme="minorHAnsi" w:hAnsiTheme="minorHAnsi" w:eastAsiaTheme="minorEastAsia"/>
    </w:rPr>
  </w:style>
  <w:style w:type="paragraph" w:styleId="H7OCAshurst" w:customStyle="1">
    <w:name w:val="H7OCAshurst"/>
    <w:basedOn w:val="NormalOCAshurst"/>
    <w:uiPriority w:val="38"/>
    <w:rsid w:val="00A16450"/>
    <w:pPr>
      <w:numPr>
        <w:ilvl w:val="6"/>
        <w:numId w:val="39"/>
      </w:numPr>
      <w:outlineLvl w:val="6"/>
    </w:pPr>
    <w:rPr>
      <w:rFonts w:asciiTheme="minorHAnsi" w:hAnsiTheme="minorHAnsi" w:eastAsiaTheme="minorEastAsia"/>
    </w:rPr>
  </w:style>
  <w:style w:type="paragraph" w:styleId="H8OCAshurst" w:customStyle="1">
    <w:name w:val="H8OCAshurst"/>
    <w:basedOn w:val="NormalOCAshurst"/>
    <w:uiPriority w:val="38"/>
    <w:rsid w:val="00A16450"/>
    <w:pPr>
      <w:numPr>
        <w:ilvl w:val="7"/>
        <w:numId w:val="39"/>
      </w:numPr>
      <w:outlineLvl w:val="7"/>
    </w:pPr>
    <w:rPr>
      <w:rFonts w:asciiTheme="minorHAnsi" w:hAnsiTheme="minorHAnsi" w:eastAsiaTheme="minorEastAsia"/>
    </w:rPr>
  </w:style>
  <w:style w:type="paragraph" w:styleId="Body2OCAshurst" w:customStyle="1">
    <w:name w:val="Body2OCAshurst"/>
    <w:basedOn w:val="NormalOCAshurst"/>
    <w:uiPriority w:val="2"/>
    <w:qFormat/>
    <w:rsid w:val="0092787D"/>
    <w:pPr>
      <w:tabs>
        <w:tab w:val="left" w:pos="709"/>
        <w:tab w:val="left" w:pos="1276"/>
        <w:tab w:val="left" w:pos="1843"/>
        <w:tab w:val="left" w:pos="2409"/>
        <w:tab w:val="left" w:pos="2976"/>
        <w:tab w:val="left" w:pos="3543"/>
        <w:tab w:val="left" w:pos="4110"/>
      </w:tabs>
      <w:ind w:left="709"/>
    </w:pPr>
    <w:rPr>
      <w:rFonts w:asciiTheme="minorHAnsi" w:hAnsiTheme="minorHAnsi" w:eastAsiaTheme="minorEastAsia"/>
    </w:rPr>
  </w:style>
  <w:style w:type="paragraph" w:styleId="MainHeadingOCAshurst" w:customStyle="1">
    <w:name w:val="MainHeadingOCAshurst"/>
    <w:basedOn w:val="NormalOCAshurst"/>
    <w:next w:val="NormalOCAshurst"/>
    <w:rsid w:val="00B110CF"/>
    <w:pPr>
      <w:keepNext/>
      <w:jc w:val="center"/>
    </w:pPr>
    <w:rPr>
      <w:rFonts w:asciiTheme="minorHAnsi" w:hAnsiTheme="minorHAnsi" w:eastAsiaTheme="minorEastAsia"/>
      <w:b/>
      <w:caps/>
    </w:rPr>
  </w:style>
  <w:style w:type="numbering" w:styleId="ArticleSection1" w:customStyle="1">
    <w:name w:val="Article / Section1"/>
    <w:basedOn w:val="NoList"/>
    <w:next w:val="ArticleSection"/>
    <w:uiPriority w:val="98"/>
    <w:semiHidden/>
    <w:rsid w:val="00F04606"/>
    <w:pPr>
      <w:numPr>
        <w:numId w:val="40"/>
      </w:numPr>
    </w:pPr>
  </w:style>
  <w:style w:type="numbering" w:styleId="ArticleSection2" w:customStyle="1">
    <w:name w:val="Article / Section2"/>
    <w:basedOn w:val="NoList"/>
    <w:next w:val="ArticleSection"/>
    <w:uiPriority w:val="98"/>
    <w:semiHidden/>
    <w:rsid w:val="00F04606"/>
  </w:style>
  <w:style w:type="paragraph" w:styleId="AltBH1OCAshurst" w:customStyle="1">
    <w:name w:val="AltBH1OCAshurst"/>
    <w:basedOn w:val="NormalOCAshurst"/>
    <w:uiPriority w:val="79"/>
    <w:rsid w:val="00FD0E8A"/>
    <w:pPr>
      <w:numPr>
        <w:numId w:val="41"/>
      </w:numPr>
      <w:outlineLvl w:val="0"/>
    </w:pPr>
    <w:rPr>
      <w:b/>
    </w:rPr>
  </w:style>
  <w:style w:type="paragraph" w:styleId="AltBH3OCAshurst" w:customStyle="1">
    <w:name w:val="AltBH3OCAshurst"/>
    <w:basedOn w:val="NormalOCAshurst"/>
    <w:uiPriority w:val="79"/>
    <w:rsid w:val="00FD0E8A"/>
    <w:pPr>
      <w:numPr>
        <w:ilvl w:val="2"/>
        <w:numId w:val="41"/>
      </w:numPr>
      <w:outlineLvl w:val="2"/>
    </w:pPr>
  </w:style>
  <w:style w:type="paragraph" w:styleId="AltBH4OCAshurst" w:customStyle="1">
    <w:name w:val="AltBH4OCAshurst"/>
    <w:basedOn w:val="NormalOCAshurst"/>
    <w:uiPriority w:val="79"/>
    <w:rsid w:val="00FD0E8A"/>
    <w:pPr>
      <w:numPr>
        <w:ilvl w:val="3"/>
        <w:numId w:val="41"/>
      </w:numPr>
      <w:outlineLvl w:val="3"/>
    </w:pPr>
  </w:style>
  <w:style w:type="paragraph" w:styleId="AltBH5OCAshurst" w:customStyle="1">
    <w:name w:val="AltBH5OCAshurst"/>
    <w:basedOn w:val="NormalOCAshurst"/>
    <w:uiPriority w:val="79"/>
    <w:rsid w:val="00FD0E8A"/>
    <w:pPr>
      <w:numPr>
        <w:ilvl w:val="4"/>
        <w:numId w:val="41"/>
      </w:numPr>
      <w:outlineLvl w:val="4"/>
    </w:pPr>
  </w:style>
  <w:style w:type="paragraph" w:styleId="AltBH6OCAshurst" w:customStyle="1">
    <w:name w:val="AltBH6OCAshurst"/>
    <w:basedOn w:val="NormalOCAshurst"/>
    <w:uiPriority w:val="79"/>
    <w:rsid w:val="00FD0E8A"/>
    <w:pPr>
      <w:numPr>
        <w:ilvl w:val="5"/>
        <w:numId w:val="41"/>
      </w:numPr>
      <w:outlineLvl w:val="5"/>
    </w:pPr>
  </w:style>
  <w:style w:type="paragraph" w:styleId="AltBH7OCAShurst" w:customStyle="1">
    <w:name w:val="AltBH7OCAShurst"/>
    <w:basedOn w:val="NormalOCAshurst"/>
    <w:uiPriority w:val="79"/>
    <w:rsid w:val="00FD0E8A"/>
    <w:pPr>
      <w:numPr>
        <w:ilvl w:val="6"/>
        <w:numId w:val="41"/>
      </w:numPr>
      <w:outlineLvl w:val="6"/>
    </w:pPr>
  </w:style>
  <w:style w:type="paragraph" w:styleId="AltBH8OCAshurst" w:customStyle="1">
    <w:name w:val="AltBH8OCAshurst"/>
    <w:basedOn w:val="NormalOCAshurst"/>
    <w:uiPriority w:val="79"/>
    <w:rsid w:val="00FD0E8A"/>
    <w:pPr>
      <w:numPr>
        <w:ilvl w:val="7"/>
        <w:numId w:val="41"/>
      </w:numPr>
      <w:outlineLvl w:val="7"/>
    </w:pPr>
  </w:style>
  <w:style w:type="paragraph" w:styleId="AltBH2OCAshurst" w:customStyle="1">
    <w:name w:val="AltBH2OCAshurst"/>
    <w:basedOn w:val="NormalOCAshurst"/>
    <w:uiPriority w:val="79"/>
    <w:rsid w:val="00FD0E8A"/>
    <w:pPr>
      <w:numPr>
        <w:ilvl w:val="1"/>
        <w:numId w:val="41"/>
      </w:numPr>
      <w:outlineLvl w:val="1"/>
    </w:pPr>
    <w:rPr>
      <w:b/>
    </w:rPr>
  </w:style>
  <w:style w:type="paragraph" w:styleId="NormalTimesNewRoman" w:customStyle="1">
    <w:name w:val="Normal + Times New Roman"/>
    <w:aliases w:val="10 pt"/>
    <w:basedOn w:val="Normal"/>
    <w:rsid w:val="00687AB6"/>
    <w:pPr>
      <w:ind w:left="1287"/>
    </w:pPr>
    <w:rPr>
      <w:rFonts w:ascii="Times New Roman" w:hAnsi="Times New Roman"/>
      <w:sz w:val="20"/>
      <w:szCs w:val="20"/>
    </w:rPr>
  </w:style>
  <w:style w:type="paragraph" w:styleId="OCTable1Ashurst" w:customStyle="1">
    <w:name w:val="OCTable1_Ashurst"/>
    <w:basedOn w:val="NormalOCAshurst"/>
    <w:next w:val="Normal"/>
    <w:uiPriority w:val="79"/>
    <w:rsid w:val="00FE595B"/>
    <w:pPr>
      <w:numPr>
        <w:numId w:val="42"/>
      </w:numPr>
      <w:tabs>
        <w:tab w:val="num" w:pos="782"/>
      </w:tabs>
    </w:pPr>
    <w:rPr>
      <w:rFonts w:eastAsia="Microsoft JhengHei"/>
    </w:rPr>
  </w:style>
  <w:style w:type="paragraph" w:styleId="OCTable2Ashurst" w:customStyle="1">
    <w:name w:val="OCTable2_Ashurst"/>
    <w:basedOn w:val="NormalOCAshurst"/>
    <w:next w:val="Normal"/>
    <w:uiPriority w:val="79"/>
    <w:rsid w:val="00FE595B"/>
    <w:pPr>
      <w:numPr>
        <w:ilvl w:val="1"/>
        <w:numId w:val="42"/>
      </w:numPr>
      <w:tabs>
        <w:tab w:val="num" w:pos="782"/>
      </w:tabs>
      <w:ind w:left="782" w:hanging="782"/>
    </w:pPr>
    <w:rPr>
      <w:rFonts w:eastAsia="Microsoft JhengHei"/>
    </w:rPr>
  </w:style>
  <w:style w:type="paragraph" w:styleId="OCTable3Ashurst" w:customStyle="1">
    <w:name w:val="OCTable3_Ashurst"/>
    <w:basedOn w:val="NormalOCAshurst"/>
    <w:next w:val="Normal"/>
    <w:uiPriority w:val="79"/>
    <w:rsid w:val="00FE595B"/>
    <w:pPr>
      <w:numPr>
        <w:ilvl w:val="2"/>
        <w:numId w:val="42"/>
      </w:numPr>
      <w:tabs>
        <w:tab w:val="num" w:pos="1406"/>
      </w:tabs>
      <w:ind w:left="1406" w:hanging="624"/>
    </w:pPr>
    <w:rPr>
      <w:rFonts w:eastAsia="Microsoft JhengHei"/>
    </w:rPr>
  </w:style>
  <w:style w:type="paragraph" w:styleId="OCTable4Ashurst" w:customStyle="1">
    <w:name w:val="OCTable4_Ashurst"/>
    <w:basedOn w:val="NormalOCAshurst"/>
    <w:next w:val="Normal"/>
    <w:uiPriority w:val="79"/>
    <w:rsid w:val="00FE595B"/>
    <w:pPr>
      <w:numPr>
        <w:ilvl w:val="3"/>
        <w:numId w:val="42"/>
      </w:numPr>
      <w:tabs>
        <w:tab w:val="num" w:pos="2030"/>
      </w:tabs>
      <w:ind w:left="2030" w:hanging="624"/>
    </w:pPr>
    <w:rPr>
      <w:rFonts w:eastAsia="Microsoft JhengHei"/>
    </w:rPr>
  </w:style>
  <w:style w:type="table" w:styleId="TableGrid20" w:customStyle="1">
    <w:name w:val="Table Grid2"/>
    <w:basedOn w:val="TableNormal"/>
    <w:next w:val="TableGrid"/>
    <w:uiPriority w:val="98"/>
    <w:rsid w:val="003A4C08"/>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8"/>
    <w:rsid w:val="00486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https://dl.luxse.com/dlp/103d4755c010b744298ce9e598d190a6f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Doc.dotx" TargetMode="External"/></Relationship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ashWordDoc</ap:Template>
</ap:Properties>
</file>

<file path=docProps/core.xml><?xml version="1.0" encoding="utf-8"?>
<coreProperties xmlns:dc="http://purl.org/dc/elements/1.1/" xmlns:dcterms="http://purl.org/dc/terms/" xmlns:xsi="http://www.w3.org/2001/XMLSchema-instance" xmlns="http://schemas.openxmlformats.org/package/2006/metadata/core-properties">
  <lastPrinted>1900-01-01T00:00:00.0000000Z</lastPrinted>
  <dcterms:created xsi:type="dcterms:W3CDTF">1900-01-01T00:00:00.0000000Z</dcterms:created>
  <dcterms:modified xsi:type="dcterms:W3CDTF">1900-01-01T00:00:00.0000000Z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AuthorID">
    <vt:lpwstr>BJIVAN</vt:lpwstr>
  </property>
  <property fmtid="{D5CDD505-2E9C-101B-9397-08002B2CF9AE}" pid="3" name="AshurstAuthorName">
    <vt:lpwstr>Jivan, Bhavini 11925</vt:lpwstr>
  </property>
  <property fmtid="{D5CDD505-2E9C-101B-9397-08002B2CF9AE}" pid="4" name="AshurstClientDescription">
    <vt:lpwstr>J.P. Morgan Securities Plc</vt:lpwstr>
  </property>
  <property fmtid="{D5CDD505-2E9C-101B-9397-08002B2CF9AE}" pid="5" name="AshurstClientID">
    <vt:lpwstr>AshurstClientID</vt:lpwstr>
  </property>
  <property fmtid="{D5CDD505-2E9C-101B-9397-08002B2CF9AE}" pid="6" name="AshurstClientNumber">
    <vt:lpwstr>JPM27</vt:lpwstr>
  </property>
  <property fmtid="{D5CDD505-2E9C-101B-9397-08002B2CF9AE}" pid="7" name="AshurstDocNumber">
    <vt:lpwstr>366924667</vt:lpwstr>
  </property>
  <property fmtid="{D5CDD505-2E9C-101B-9397-08002B2CF9AE}" pid="8" name="AshurstDocRef">
    <vt:lpwstr>15:24\16 January 2026\EUS_ONPREM\BJIVAN\366924667.04</vt:lpwstr>
  </property>
  <property fmtid="{D5CDD505-2E9C-101B-9397-08002B2CF9AE}" pid="9" name="AshurstDocRefCoverPage">
    <vt:lpwstr>AshurstDocRefCoverPage</vt:lpwstr>
  </property>
  <property fmtid="{D5CDD505-2E9C-101B-9397-08002B2CF9AE}" pid="10" name="AshurstDocType">
    <vt:lpwstr/>
  </property>
  <property fmtid="{D5CDD505-2E9C-101B-9397-08002B2CF9AE}" pid="11" name="AshurstFeeEarnerInitials">
    <vt:lpwstr>FE Initials</vt:lpwstr>
  </property>
  <property fmtid="{D5CDD505-2E9C-101B-9397-08002B2CF9AE}" pid="12" name="AshurstFileNumber">
    <vt:lpwstr>JPM27.1000-258-673</vt:lpwstr>
  </property>
  <property fmtid="{D5CDD505-2E9C-101B-9397-08002B2CF9AE}" pid="13" name="AshurstLibraryName">
    <vt:lpwstr>EUS_ONPREM</vt:lpwstr>
  </property>
  <property fmtid="{D5CDD505-2E9C-101B-9397-08002B2CF9AE}" pid="14" name="AshurstMatterDescription">
    <vt:lpwstr>(i) Supplement No. 8 to the 17 April 2025 Offering Circular; (ii) Supplement No. 9 to the 17 April 2025 Base Prospectus; (iii) Supplement No. 5 to the 24 July 2025 CIP Base Prospectus; (iv) Supplement No. 4 to the 14 August 2025 Unlisted CIP Pro</vt:lpwstr>
  </property>
  <property fmtid="{D5CDD505-2E9C-101B-9397-08002B2CF9AE}" pid="15" name="AshurstMatterID">
    <vt:lpwstr>AshurstMatterID</vt:lpwstr>
  </property>
  <property fmtid="{D5CDD505-2E9C-101B-9397-08002B2CF9AE}" pid="16" name="AshurstMatterNumber">
    <vt:lpwstr>1000-258-673</vt:lpwstr>
  </property>
  <property fmtid="{D5CDD505-2E9C-101B-9397-08002B2CF9AE}" pid="17" name="AshurstOurRef">
    <vt:lpwstr>BJIVAN\JPM27.1000-258-673</vt:lpwstr>
  </property>
  <property fmtid="{D5CDD505-2E9C-101B-9397-08002B2CF9AE}" pid="18" name="AshurstPartnerInitials">
    <vt:lpwstr>Partner Initials</vt:lpwstr>
  </property>
  <property fmtid="{D5CDD505-2E9C-101B-9397-08002B2CF9AE}" pid="19" name="AshurstTypistID">
    <vt:lpwstr/>
  </property>
  <property fmtid="{D5CDD505-2E9C-101B-9397-08002B2CF9AE}" pid="20" name="AshurstTypistName">
    <vt:lpwstr/>
  </property>
  <property fmtid="{D5CDD505-2E9C-101B-9397-08002B2CF9AE}" pid="21" name="AshurstVersionNumber">
    <vt:lpwstr/>
  </property>
  <property fmtid="{D5CDD505-2E9C-101B-9397-08002B2CF9AE}" pid="22" name="document number">
    <vt:lpwstr>\</vt:lpwstr>
  </property>
  <property fmtid="{D5CDD505-2E9C-101B-9397-08002B2CF9AE}" pid="23" name="MSIP_Label_1ebcac49-0f25-4518-ae1e-999dfc5af7c9_Enabled">
    <vt:lpwstr>true</vt:lpwstr>
  </property>
  <property fmtid="{D5CDD505-2E9C-101B-9397-08002B2CF9AE}" pid="24" name="MSIP_Label_1ebcac49-0f25-4518-ae1e-999dfc5af7c9_SetDate">
    <vt:lpwstr>2025-10-15T01:20:28Z</vt:lpwstr>
  </property>
  <property fmtid="{D5CDD505-2E9C-101B-9397-08002B2CF9AE}" pid="25" name="MSIP_Label_1ebcac49-0f25-4518-ae1e-999dfc5af7c9_Method">
    <vt:lpwstr>Standard</vt:lpwstr>
  </property>
  <property fmtid="{D5CDD505-2E9C-101B-9397-08002B2CF9AE}" pid="26" name="MSIP_Label_1ebcac49-0f25-4518-ae1e-999dfc5af7c9_Name">
    <vt:lpwstr>Confidential</vt:lpwstr>
  </property>
  <property fmtid="{D5CDD505-2E9C-101B-9397-08002B2CF9AE}" pid="27" name="MSIP_Label_1ebcac49-0f25-4518-ae1e-999dfc5af7c9_SiteId">
    <vt:lpwstr>0bb6abcc-a4cb-4fe2-9b52-d3ab6bae9014</vt:lpwstr>
  </property>
  <property fmtid="{D5CDD505-2E9C-101B-9397-08002B2CF9AE}" pid="28" name="MSIP_Label_1ebcac49-0f25-4518-ae1e-999dfc5af7c9_ActionId">
    <vt:lpwstr>ad110609-8515-41b6-9901-9511af980f18</vt:lpwstr>
  </property>
  <property fmtid="{D5CDD505-2E9C-101B-9397-08002B2CF9AE}" pid="29" name="MSIP_Label_1ebcac49-0f25-4518-ae1e-999dfc5af7c9_ContentBits">
    <vt:lpwstr>0</vt:lpwstr>
  </property>
</Properties>
</file>